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F34C9" w14:textId="77777777" w:rsidR="00B26B8D" w:rsidRDefault="00B26B8D"/>
    <w:p w14:paraId="3488D67E" w14:textId="75E30DE2" w:rsidR="00946B64" w:rsidRPr="00B27A30" w:rsidRDefault="00946B64" w:rsidP="00946B64">
      <w:pPr>
        <w:spacing w:after="200" w:line="276" w:lineRule="auto"/>
        <w:rPr>
          <w:rFonts w:ascii="Minion Pro" w:eastAsia="Calibri" w:hAnsi="Minion Pro"/>
          <w:color w:val="9D2F56"/>
          <w:spacing w:val="40"/>
          <w:sz w:val="36"/>
          <w:szCs w:val="36"/>
          <w:lang w:eastAsia="en-US"/>
        </w:rPr>
      </w:pPr>
      <w:r w:rsidRPr="00B27A30">
        <w:rPr>
          <w:rFonts w:ascii="Minion Pro" w:eastAsia="Calibri" w:hAnsi="Minion Pro"/>
          <w:color w:val="9D2F56"/>
          <w:spacing w:val="40"/>
          <w:sz w:val="36"/>
          <w:szCs w:val="36"/>
          <w:lang w:eastAsia="en-US"/>
        </w:rPr>
        <w:t>PRESSEMITTEILUNG</w:t>
      </w:r>
    </w:p>
    <w:p w14:paraId="00996097" w14:textId="4DC24140" w:rsidR="00946B64" w:rsidRPr="00693228" w:rsidRDefault="00DE2F22" w:rsidP="00946B64">
      <w:pPr>
        <w:spacing w:before="240" w:after="200" w:line="276" w:lineRule="auto"/>
        <w:rPr>
          <w:rFonts w:ascii="Minion Pro" w:eastAsia="Calibri" w:hAnsi="Minion Pro"/>
          <w:color w:val="FF0000"/>
          <w:sz w:val="32"/>
          <w:szCs w:val="32"/>
          <w:lang w:eastAsia="en-US"/>
        </w:rPr>
      </w:pPr>
      <w:r>
        <w:rPr>
          <w:rFonts w:ascii="Minion Pro" w:eastAsia="Calibri" w:hAnsi="Minion Pro"/>
          <w:b w:val="0"/>
          <w:sz w:val="24"/>
          <w:szCs w:val="24"/>
          <w:lang w:eastAsia="en-US"/>
        </w:rPr>
        <w:t>Oktober 2025</w:t>
      </w:r>
    </w:p>
    <w:p w14:paraId="36AE75A3" w14:textId="77777777" w:rsidR="00F24F9D" w:rsidRPr="00DE2F22" w:rsidRDefault="00F24F9D" w:rsidP="00F24F9D">
      <w:pPr>
        <w:rPr>
          <w:rFonts w:ascii="Minion Pro" w:eastAsia="Calibri" w:hAnsi="Minion Pro"/>
          <w:sz w:val="24"/>
          <w:szCs w:val="24"/>
          <w:lang w:eastAsia="en-US"/>
        </w:rPr>
      </w:pPr>
      <w:r w:rsidRPr="00DE2F22">
        <w:rPr>
          <w:rFonts w:ascii="Minion Pro" w:eastAsia="Calibri" w:hAnsi="Minion Pro"/>
          <w:sz w:val="24"/>
          <w:szCs w:val="24"/>
          <w:lang w:eastAsia="en-US"/>
        </w:rPr>
        <w:t>Trauergedenktage im November: Orte der Erinnerung bewahren das Andenken</w:t>
      </w:r>
    </w:p>
    <w:p w14:paraId="5DE3AC07" w14:textId="77777777" w:rsidR="00F24F9D" w:rsidRPr="00F24F9D" w:rsidRDefault="00F24F9D" w:rsidP="00F24F9D">
      <w:pPr>
        <w:rPr>
          <w:rFonts w:ascii="Minion Pro" w:eastAsia="Calibri" w:hAnsi="Minion Pro"/>
          <w:b w:val="0"/>
          <w:bCs/>
          <w:sz w:val="24"/>
          <w:szCs w:val="24"/>
          <w:lang w:eastAsia="en-US"/>
        </w:rPr>
      </w:pPr>
    </w:p>
    <w:p w14:paraId="024B8321" w14:textId="5D1B68CC" w:rsidR="00F24F9D" w:rsidRPr="00F24F9D" w:rsidRDefault="00F24F9D" w:rsidP="00DE2F22">
      <w:pPr>
        <w:jc w:val="both"/>
        <w:rPr>
          <w:rFonts w:ascii="Minion Pro" w:eastAsia="Calibri" w:hAnsi="Minion Pro"/>
          <w:b w:val="0"/>
          <w:bCs/>
          <w:sz w:val="24"/>
          <w:szCs w:val="24"/>
          <w:lang w:eastAsia="en-US"/>
        </w:rPr>
      </w:pPr>
      <w:r w:rsidRPr="00F24F9D">
        <w:rPr>
          <w:rFonts w:ascii="Minion Pro" w:eastAsia="Calibri" w:hAnsi="Minion Pro"/>
          <w:b w:val="0"/>
          <w:bCs/>
          <w:sz w:val="24"/>
          <w:szCs w:val="24"/>
          <w:lang w:eastAsia="en-US"/>
        </w:rPr>
        <w:t>Im November hält Deutschland inne, um den Verstorbenen zu gedenken. Mit Allerheiligen (1. November), Allerseelen (2. November), dem Volkstrauertag (</w:t>
      </w:r>
      <w:r w:rsidR="0040055F">
        <w:rPr>
          <w:rFonts w:ascii="Minion Pro" w:eastAsia="Calibri" w:hAnsi="Minion Pro"/>
          <w:b w:val="0"/>
          <w:bCs/>
          <w:sz w:val="24"/>
          <w:szCs w:val="24"/>
          <w:lang w:eastAsia="en-US"/>
        </w:rPr>
        <w:t>16. November</w:t>
      </w:r>
      <w:r w:rsidRPr="00F24F9D">
        <w:rPr>
          <w:rFonts w:ascii="Minion Pro" w:eastAsia="Calibri" w:hAnsi="Minion Pro"/>
          <w:b w:val="0"/>
          <w:bCs/>
          <w:sz w:val="24"/>
          <w:szCs w:val="24"/>
          <w:lang w:eastAsia="en-US"/>
        </w:rPr>
        <w:t xml:space="preserve">) und dem Totensonntag bzw. Ewigkeitssonntag (letzter Sonntag vor dem </w:t>
      </w:r>
      <w:r w:rsidR="0040055F">
        <w:rPr>
          <w:rFonts w:ascii="Minion Pro" w:eastAsia="Calibri" w:hAnsi="Minion Pro"/>
          <w:b w:val="0"/>
          <w:bCs/>
          <w:sz w:val="24"/>
          <w:szCs w:val="24"/>
          <w:lang w:eastAsia="en-US"/>
        </w:rPr>
        <w:t xml:space="preserve">ersten </w:t>
      </w:r>
      <w:r w:rsidRPr="00F24F9D">
        <w:rPr>
          <w:rFonts w:ascii="Minion Pro" w:eastAsia="Calibri" w:hAnsi="Minion Pro"/>
          <w:b w:val="0"/>
          <w:bCs/>
          <w:sz w:val="24"/>
          <w:szCs w:val="24"/>
          <w:lang w:eastAsia="en-US"/>
        </w:rPr>
        <w:t xml:space="preserve">Advent) widmen sich gleich mehrere Tage diesem stillen Erinnern. Diese Zeit erinnert daran, wie wichtig es ist, den Verstorbenen einen würdigen </w:t>
      </w:r>
      <w:r w:rsidR="00DE2F22">
        <w:rPr>
          <w:rFonts w:ascii="Minion Pro" w:eastAsia="Calibri" w:hAnsi="Minion Pro"/>
          <w:b w:val="0"/>
          <w:bCs/>
          <w:sz w:val="24"/>
          <w:szCs w:val="24"/>
          <w:lang w:eastAsia="en-US"/>
        </w:rPr>
        <w:t xml:space="preserve">und sichtbaren </w:t>
      </w:r>
      <w:r w:rsidRPr="00F24F9D">
        <w:rPr>
          <w:rFonts w:ascii="Minion Pro" w:eastAsia="Calibri" w:hAnsi="Minion Pro"/>
          <w:b w:val="0"/>
          <w:bCs/>
          <w:sz w:val="24"/>
          <w:szCs w:val="24"/>
          <w:lang w:eastAsia="en-US"/>
        </w:rPr>
        <w:t>Platz im Leben der Hinter</w:t>
      </w:r>
      <w:r w:rsidR="00DE2F22">
        <w:rPr>
          <w:rFonts w:ascii="Minion Pro" w:eastAsia="Calibri" w:hAnsi="Minion Pro"/>
          <w:b w:val="0"/>
          <w:bCs/>
          <w:sz w:val="24"/>
          <w:szCs w:val="24"/>
          <w:lang w:eastAsia="en-US"/>
        </w:rPr>
        <w:softHyphen/>
      </w:r>
      <w:r w:rsidRPr="00F24F9D">
        <w:rPr>
          <w:rFonts w:ascii="Minion Pro" w:eastAsia="Calibri" w:hAnsi="Minion Pro"/>
          <w:b w:val="0"/>
          <w:bCs/>
          <w:sz w:val="24"/>
          <w:szCs w:val="24"/>
          <w:lang w:eastAsia="en-US"/>
        </w:rPr>
        <w:t>bliebenen zu geben.</w:t>
      </w:r>
      <w:r w:rsidR="0040055F">
        <w:rPr>
          <w:rFonts w:ascii="Minion Pro" w:eastAsia="Calibri" w:hAnsi="Minion Pro"/>
          <w:b w:val="0"/>
          <w:bCs/>
          <w:sz w:val="24"/>
          <w:szCs w:val="24"/>
          <w:lang w:eastAsia="en-US"/>
        </w:rPr>
        <w:t xml:space="preserve"> Es sind Tage der persönlichen und der gesellschaftlichen Erinnerung.</w:t>
      </w:r>
    </w:p>
    <w:p w14:paraId="25F242C3" w14:textId="77777777" w:rsidR="00F24F9D" w:rsidRPr="00F24F9D" w:rsidRDefault="00F24F9D" w:rsidP="00DE2F22">
      <w:pPr>
        <w:jc w:val="both"/>
        <w:rPr>
          <w:rFonts w:ascii="Minion Pro" w:eastAsia="Calibri" w:hAnsi="Minion Pro"/>
          <w:b w:val="0"/>
          <w:bCs/>
          <w:sz w:val="24"/>
          <w:szCs w:val="24"/>
          <w:lang w:eastAsia="en-US"/>
        </w:rPr>
      </w:pPr>
    </w:p>
    <w:p w14:paraId="59F7E80A" w14:textId="658BBDCE" w:rsidR="00F24F9D" w:rsidRPr="00DE2F22" w:rsidRDefault="00F24F9D" w:rsidP="00DE2F22">
      <w:pPr>
        <w:jc w:val="both"/>
        <w:rPr>
          <w:rFonts w:ascii="Minion Pro" w:eastAsia="Calibri" w:hAnsi="Minion Pro"/>
          <w:sz w:val="24"/>
          <w:szCs w:val="24"/>
          <w:lang w:eastAsia="en-US"/>
        </w:rPr>
      </w:pPr>
      <w:r w:rsidRPr="00DE2F22">
        <w:rPr>
          <w:rFonts w:ascii="Minion Pro" w:eastAsia="Calibri" w:hAnsi="Minion Pro"/>
          <w:sz w:val="24"/>
          <w:szCs w:val="24"/>
          <w:lang w:eastAsia="en-US"/>
        </w:rPr>
        <w:t xml:space="preserve">Friedhof als </w:t>
      </w:r>
      <w:r w:rsidR="0040055F">
        <w:rPr>
          <w:rFonts w:ascii="Minion Pro" w:eastAsia="Calibri" w:hAnsi="Minion Pro"/>
          <w:sz w:val="24"/>
          <w:szCs w:val="24"/>
          <w:lang w:eastAsia="en-US"/>
        </w:rPr>
        <w:t xml:space="preserve">wichtigster </w:t>
      </w:r>
      <w:r w:rsidRPr="00DE2F22">
        <w:rPr>
          <w:rFonts w:ascii="Minion Pro" w:eastAsia="Calibri" w:hAnsi="Minion Pro"/>
          <w:sz w:val="24"/>
          <w:szCs w:val="24"/>
          <w:lang w:eastAsia="en-US"/>
        </w:rPr>
        <w:t>Ort des Erinnerns</w:t>
      </w:r>
    </w:p>
    <w:p w14:paraId="168DB721" w14:textId="11230266" w:rsidR="00F24F9D" w:rsidRPr="00F24F9D" w:rsidRDefault="00F24F9D" w:rsidP="00DE2F22">
      <w:pPr>
        <w:jc w:val="both"/>
        <w:rPr>
          <w:rFonts w:ascii="Minion Pro" w:eastAsia="Calibri" w:hAnsi="Minion Pro"/>
          <w:b w:val="0"/>
          <w:bCs/>
          <w:sz w:val="24"/>
          <w:szCs w:val="24"/>
          <w:lang w:eastAsia="en-US"/>
        </w:rPr>
      </w:pPr>
      <w:r w:rsidRPr="00F24F9D">
        <w:rPr>
          <w:rFonts w:ascii="Minion Pro" w:eastAsia="Calibri" w:hAnsi="Minion Pro"/>
          <w:b w:val="0"/>
          <w:bCs/>
          <w:sz w:val="24"/>
          <w:szCs w:val="24"/>
          <w:lang w:eastAsia="en-US"/>
        </w:rPr>
        <w:t>Der Friedhof ist weit mehr als ein Ort der Beisetzung – er ist ein Ort des Trostes, der Stille und des persönlichen Austauschs mit den Erinnerungen an die Verstorbenen. Hier finden Angehörige</w:t>
      </w:r>
      <w:r w:rsidR="00DE2F22">
        <w:rPr>
          <w:rFonts w:ascii="Minion Pro" w:eastAsia="Calibri" w:hAnsi="Minion Pro"/>
          <w:b w:val="0"/>
          <w:bCs/>
          <w:sz w:val="24"/>
          <w:szCs w:val="24"/>
          <w:lang w:eastAsia="en-US"/>
        </w:rPr>
        <w:t xml:space="preserve">, </w:t>
      </w:r>
      <w:r w:rsidRPr="00F24F9D">
        <w:rPr>
          <w:rFonts w:ascii="Minion Pro" w:eastAsia="Calibri" w:hAnsi="Minion Pro"/>
          <w:b w:val="0"/>
          <w:bCs/>
          <w:sz w:val="24"/>
          <w:szCs w:val="24"/>
          <w:lang w:eastAsia="en-US"/>
        </w:rPr>
        <w:t>Freunde</w:t>
      </w:r>
      <w:r w:rsidR="00DE2F22">
        <w:rPr>
          <w:rFonts w:ascii="Minion Pro" w:eastAsia="Calibri" w:hAnsi="Minion Pro"/>
          <w:b w:val="0"/>
          <w:bCs/>
          <w:sz w:val="24"/>
          <w:szCs w:val="24"/>
          <w:lang w:eastAsia="en-US"/>
        </w:rPr>
        <w:t>, ehemalige Kollegen und Nachbarn</w:t>
      </w:r>
      <w:r w:rsidRPr="00F24F9D">
        <w:rPr>
          <w:rFonts w:ascii="Minion Pro" w:eastAsia="Calibri" w:hAnsi="Minion Pro"/>
          <w:b w:val="0"/>
          <w:bCs/>
          <w:sz w:val="24"/>
          <w:szCs w:val="24"/>
          <w:lang w:eastAsia="en-US"/>
        </w:rPr>
        <w:t xml:space="preserve"> die Möglichkeit, Gedanken und Gefühle zu ordnen, Trauer auszudrücken und ein inneres Gespräch mit den Verstorbenen zu führen. Besonders in den dunklen Novembertagen werden Friedhöfe geschmückt, Kerzen angezündet und Gräber </w:t>
      </w:r>
      <w:r w:rsidR="00DE2F22">
        <w:rPr>
          <w:rFonts w:ascii="Minion Pro" w:eastAsia="Calibri" w:hAnsi="Minion Pro"/>
          <w:b w:val="0"/>
          <w:bCs/>
          <w:sz w:val="24"/>
          <w:szCs w:val="24"/>
          <w:lang w:eastAsia="en-US"/>
        </w:rPr>
        <w:t xml:space="preserve">mit Blumen und </w:t>
      </w:r>
      <w:r w:rsidR="0040055F">
        <w:rPr>
          <w:rFonts w:ascii="Minion Pro" w:eastAsia="Calibri" w:hAnsi="Minion Pro"/>
          <w:b w:val="0"/>
          <w:bCs/>
          <w:sz w:val="24"/>
          <w:szCs w:val="24"/>
          <w:lang w:eastAsia="en-US"/>
        </w:rPr>
        <w:t>kleinen Erinnerungsstücken</w:t>
      </w:r>
      <w:r w:rsidR="00DE2F22">
        <w:rPr>
          <w:rFonts w:ascii="Minion Pro" w:eastAsia="Calibri" w:hAnsi="Minion Pro"/>
          <w:b w:val="0"/>
          <w:bCs/>
          <w:sz w:val="24"/>
          <w:szCs w:val="24"/>
          <w:lang w:eastAsia="en-US"/>
        </w:rPr>
        <w:t xml:space="preserve"> </w:t>
      </w:r>
      <w:r w:rsidRPr="00F24F9D">
        <w:rPr>
          <w:rFonts w:ascii="Minion Pro" w:eastAsia="Calibri" w:hAnsi="Minion Pro"/>
          <w:b w:val="0"/>
          <w:bCs/>
          <w:sz w:val="24"/>
          <w:szCs w:val="24"/>
          <w:lang w:eastAsia="en-US"/>
        </w:rPr>
        <w:t>hergerichtet</w:t>
      </w:r>
      <w:r w:rsidR="0040055F">
        <w:rPr>
          <w:rFonts w:ascii="Minion Pro" w:eastAsia="Calibri" w:hAnsi="Minion Pro"/>
          <w:b w:val="0"/>
          <w:bCs/>
          <w:sz w:val="24"/>
          <w:szCs w:val="24"/>
          <w:lang w:eastAsia="en-US"/>
        </w:rPr>
        <w:t>.</w:t>
      </w:r>
      <w:r w:rsidRPr="00F24F9D">
        <w:rPr>
          <w:rFonts w:ascii="Minion Pro" w:eastAsia="Calibri" w:hAnsi="Minion Pro"/>
          <w:b w:val="0"/>
          <w:bCs/>
          <w:sz w:val="24"/>
          <w:szCs w:val="24"/>
          <w:lang w:eastAsia="en-US"/>
        </w:rPr>
        <w:t xml:space="preserve"> </w:t>
      </w:r>
      <w:r w:rsidR="0040055F">
        <w:rPr>
          <w:rFonts w:ascii="Minion Pro" w:eastAsia="Calibri" w:hAnsi="Minion Pro"/>
          <w:b w:val="0"/>
          <w:bCs/>
          <w:sz w:val="24"/>
          <w:szCs w:val="24"/>
          <w:lang w:eastAsia="en-US"/>
        </w:rPr>
        <w:t>A</w:t>
      </w:r>
      <w:r w:rsidR="00DE2F22">
        <w:rPr>
          <w:rFonts w:ascii="Minion Pro" w:eastAsia="Calibri" w:hAnsi="Minion Pro"/>
          <w:b w:val="0"/>
          <w:bCs/>
          <w:sz w:val="24"/>
          <w:szCs w:val="24"/>
          <w:lang w:eastAsia="en-US"/>
        </w:rPr>
        <w:t xml:space="preserve">ll dies sind </w:t>
      </w:r>
      <w:r w:rsidRPr="00F24F9D">
        <w:rPr>
          <w:rFonts w:ascii="Minion Pro" w:eastAsia="Calibri" w:hAnsi="Minion Pro"/>
          <w:b w:val="0"/>
          <w:bCs/>
          <w:sz w:val="24"/>
          <w:szCs w:val="24"/>
          <w:lang w:eastAsia="en-US"/>
        </w:rPr>
        <w:t>sichtbare Zeichen lebendiger Erinnerungskultur.</w:t>
      </w:r>
      <w:r w:rsidR="00DE2F22">
        <w:rPr>
          <w:rFonts w:ascii="Minion Pro" w:eastAsia="Calibri" w:hAnsi="Minion Pro"/>
          <w:b w:val="0"/>
          <w:bCs/>
          <w:sz w:val="24"/>
          <w:szCs w:val="24"/>
          <w:lang w:eastAsia="en-US"/>
        </w:rPr>
        <w:t xml:space="preserve"> Und nicht zuletzt ist der Friedhof auch ein gesellschaftlich wichtiger Ort, ein Anker zwischen dem Hier und Jetzt und dem, was nach dem irdischen Leben kommt.</w:t>
      </w:r>
    </w:p>
    <w:p w14:paraId="55B72B41" w14:textId="77777777" w:rsidR="00F24F9D" w:rsidRPr="00F24F9D" w:rsidRDefault="00F24F9D" w:rsidP="00DE2F22">
      <w:pPr>
        <w:jc w:val="both"/>
        <w:rPr>
          <w:rFonts w:ascii="Minion Pro" w:eastAsia="Calibri" w:hAnsi="Minion Pro"/>
          <w:b w:val="0"/>
          <w:bCs/>
          <w:sz w:val="24"/>
          <w:szCs w:val="24"/>
          <w:lang w:eastAsia="en-US"/>
        </w:rPr>
      </w:pPr>
    </w:p>
    <w:p w14:paraId="6F033447" w14:textId="77777777" w:rsidR="00F24F9D" w:rsidRPr="00DE2F22" w:rsidRDefault="00F24F9D" w:rsidP="00DE2F22">
      <w:pPr>
        <w:jc w:val="both"/>
        <w:rPr>
          <w:rFonts w:ascii="Minion Pro" w:eastAsia="Calibri" w:hAnsi="Minion Pro"/>
          <w:sz w:val="24"/>
          <w:szCs w:val="24"/>
          <w:lang w:eastAsia="en-US"/>
        </w:rPr>
      </w:pPr>
      <w:r w:rsidRPr="00DE2F22">
        <w:rPr>
          <w:rFonts w:ascii="Minion Pro" w:eastAsia="Calibri" w:hAnsi="Minion Pro"/>
          <w:sz w:val="24"/>
          <w:szCs w:val="24"/>
          <w:lang w:eastAsia="en-US"/>
        </w:rPr>
        <w:t>Bedeutung des Grabes und des Grabsteins</w:t>
      </w:r>
    </w:p>
    <w:p w14:paraId="68F97590" w14:textId="1EF46B5F" w:rsidR="00F24F9D" w:rsidRPr="00F24F9D" w:rsidRDefault="00F24F9D" w:rsidP="00DE2F22">
      <w:pPr>
        <w:jc w:val="both"/>
        <w:rPr>
          <w:rFonts w:ascii="Minion Pro" w:eastAsia="Calibri" w:hAnsi="Minion Pro"/>
          <w:b w:val="0"/>
          <w:bCs/>
          <w:sz w:val="24"/>
          <w:szCs w:val="24"/>
          <w:lang w:eastAsia="en-US"/>
        </w:rPr>
      </w:pPr>
      <w:r w:rsidRPr="00F24F9D">
        <w:rPr>
          <w:rFonts w:ascii="Minion Pro" w:eastAsia="Calibri" w:hAnsi="Minion Pro"/>
          <w:b w:val="0"/>
          <w:bCs/>
          <w:sz w:val="24"/>
          <w:szCs w:val="24"/>
          <w:lang w:eastAsia="en-US"/>
        </w:rPr>
        <w:t xml:space="preserve">Das individuelle Grab ist ein fester Ankerpunkt der Trauer. Es bietet Raum für Zwiesprache, Rückzug und Vergegenwärtigung gemeinsamer Erinnerungen. Ein persönlicher Grabstein verleiht diesem Ort Identität und </w:t>
      </w:r>
      <w:r w:rsidR="0040055F">
        <w:rPr>
          <w:rFonts w:ascii="Minion Pro" w:eastAsia="Calibri" w:hAnsi="Minion Pro"/>
          <w:b w:val="0"/>
          <w:bCs/>
          <w:sz w:val="24"/>
          <w:szCs w:val="24"/>
          <w:lang w:eastAsia="en-US"/>
        </w:rPr>
        <w:t>Präsenz zu jeder Jahreszeit</w:t>
      </w:r>
      <w:r w:rsidRPr="00F24F9D">
        <w:rPr>
          <w:rFonts w:ascii="Minion Pro" w:eastAsia="Calibri" w:hAnsi="Minion Pro"/>
          <w:b w:val="0"/>
          <w:bCs/>
          <w:sz w:val="24"/>
          <w:szCs w:val="24"/>
          <w:lang w:eastAsia="en-US"/>
        </w:rPr>
        <w:t>. Er ist Ausdruck der Liebe, des Respekts und der Einzigartigkeit des Menschen, an den erinnert wird. Durch Inschrift, Symbolik und Gestaltung können Angehörige die Persönlichkeit des Verstorbenen bewahren und in Stein verewigen</w:t>
      </w:r>
      <w:r w:rsidR="00DE2F22">
        <w:rPr>
          <w:rFonts w:ascii="Minion Pro" w:eastAsia="Calibri" w:hAnsi="Minion Pro"/>
          <w:b w:val="0"/>
          <w:bCs/>
          <w:sz w:val="24"/>
          <w:szCs w:val="24"/>
          <w:lang w:eastAsia="en-US"/>
        </w:rPr>
        <w:t xml:space="preserve"> lassen</w:t>
      </w:r>
      <w:r w:rsidRPr="00F24F9D">
        <w:rPr>
          <w:rFonts w:ascii="Minion Pro" w:eastAsia="Calibri" w:hAnsi="Minion Pro"/>
          <w:b w:val="0"/>
          <w:bCs/>
          <w:sz w:val="24"/>
          <w:szCs w:val="24"/>
          <w:lang w:eastAsia="en-US"/>
        </w:rPr>
        <w:t>.</w:t>
      </w:r>
      <w:r w:rsidR="00DE2F22">
        <w:rPr>
          <w:rFonts w:ascii="Minion Pro" w:eastAsia="Calibri" w:hAnsi="Minion Pro"/>
          <w:b w:val="0"/>
          <w:bCs/>
          <w:sz w:val="24"/>
          <w:szCs w:val="24"/>
          <w:lang w:eastAsia="en-US"/>
        </w:rPr>
        <w:t xml:space="preserve"> Die Grabmale auf unsere Friedhöfen sind auch ein sichtbares Zeichen unseres Kulturverständnisses und unserer Tradition, die Erinnerung auch im öffentlichen Raum zu leben. </w:t>
      </w:r>
      <w:r w:rsidR="0040055F">
        <w:rPr>
          <w:rFonts w:ascii="Minion Pro" w:eastAsia="Calibri" w:hAnsi="Minion Pro"/>
          <w:b w:val="0"/>
          <w:bCs/>
          <w:sz w:val="24"/>
          <w:szCs w:val="24"/>
          <w:lang w:eastAsia="en-US"/>
        </w:rPr>
        <w:t>Die umgebende Natur harmoniert mit der Natürlichkeit unserer Steine. Sie sind ein nachhaltiges Material und besonders schön, wenn sie aus europäischen Steinbrüchen kommen.</w:t>
      </w:r>
    </w:p>
    <w:p w14:paraId="451FF333" w14:textId="77777777" w:rsidR="00F24F9D" w:rsidRPr="00F24F9D" w:rsidRDefault="00F24F9D" w:rsidP="00DE2F22">
      <w:pPr>
        <w:jc w:val="both"/>
        <w:rPr>
          <w:rFonts w:ascii="Minion Pro" w:eastAsia="Calibri" w:hAnsi="Minion Pro"/>
          <w:b w:val="0"/>
          <w:bCs/>
          <w:sz w:val="24"/>
          <w:szCs w:val="24"/>
          <w:lang w:eastAsia="en-US"/>
        </w:rPr>
      </w:pPr>
    </w:p>
    <w:p w14:paraId="75C1B5DA" w14:textId="09D29A8F" w:rsidR="00F24F9D" w:rsidRPr="00DE2F22" w:rsidRDefault="00F24F9D" w:rsidP="00DE2F22">
      <w:pPr>
        <w:jc w:val="both"/>
        <w:rPr>
          <w:rFonts w:ascii="Minion Pro" w:eastAsia="Calibri" w:hAnsi="Minion Pro"/>
          <w:sz w:val="24"/>
          <w:szCs w:val="24"/>
          <w:lang w:eastAsia="en-US"/>
        </w:rPr>
      </w:pPr>
      <w:r w:rsidRPr="00DE2F22">
        <w:rPr>
          <w:rFonts w:ascii="Minion Pro" w:eastAsia="Calibri" w:hAnsi="Minion Pro"/>
          <w:sz w:val="24"/>
          <w:szCs w:val="24"/>
          <w:lang w:eastAsia="en-US"/>
        </w:rPr>
        <w:t xml:space="preserve">Das Steinmetzhandwerk – Bewahrung </w:t>
      </w:r>
      <w:r w:rsidR="00DE2F22">
        <w:rPr>
          <w:rFonts w:ascii="Minion Pro" w:eastAsia="Calibri" w:hAnsi="Minion Pro"/>
          <w:sz w:val="24"/>
          <w:szCs w:val="24"/>
          <w:lang w:eastAsia="en-US"/>
        </w:rPr>
        <w:t xml:space="preserve">der Erinnerung </w:t>
      </w:r>
      <w:r w:rsidRPr="00DE2F22">
        <w:rPr>
          <w:rFonts w:ascii="Minion Pro" w:eastAsia="Calibri" w:hAnsi="Minion Pro"/>
          <w:sz w:val="24"/>
          <w:szCs w:val="24"/>
          <w:lang w:eastAsia="en-US"/>
        </w:rPr>
        <w:t>in Stein</w:t>
      </w:r>
    </w:p>
    <w:p w14:paraId="236A7398" w14:textId="6E5326E4" w:rsidR="00F24F9D" w:rsidRPr="00F24F9D" w:rsidRDefault="00F24F9D" w:rsidP="00DE2F22">
      <w:pPr>
        <w:jc w:val="both"/>
        <w:rPr>
          <w:rFonts w:ascii="Minion Pro" w:eastAsia="Calibri" w:hAnsi="Minion Pro"/>
          <w:b w:val="0"/>
          <w:bCs/>
          <w:sz w:val="24"/>
          <w:szCs w:val="24"/>
          <w:lang w:eastAsia="en-US"/>
        </w:rPr>
      </w:pPr>
      <w:r w:rsidRPr="00F24F9D">
        <w:rPr>
          <w:rFonts w:ascii="Minion Pro" w:eastAsia="Calibri" w:hAnsi="Minion Pro"/>
          <w:b w:val="0"/>
          <w:bCs/>
          <w:sz w:val="24"/>
          <w:szCs w:val="24"/>
          <w:lang w:eastAsia="en-US"/>
        </w:rPr>
        <w:t>Die Kunst des Steinmetzes spielt dabei eine entscheidende Rolle. Mit handwerklichem Können, gestalterischem Feingefühl und Respekt vor der individuellen Lebensgeschichte schaffen Steinmetzinnen und Steinmetze Grabmale, die Trost spenden und die Erinnerung über Generationen bewahren. Jedes Grabmal entsteht in enger Abstimmung mit den Angehörigen und verbindet Tradition mit individuell abgestimmter Gestaltung – ein bleibendes Zeichen der Würdigung und Erinnerung.</w:t>
      </w:r>
      <w:r w:rsidR="00DE2F22">
        <w:rPr>
          <w:rFonts w:ascii="Minion Pro" w:eastAsia="Calibri" w:hAnsi="Minion Pro"/>
          <w:b w:val="0"/>
          <w:bCs/>
          <w:sz w:val="24"/>
          <w:szCs w:val="24"/>
          <w:lang w:eastAsia="en-US"/>
        </w:rPr>
        <w:t xml:space="preserve"> Der Prozess der Entstehung eines Grabsteins ist oft auch ein heilender Prozess. Die Lebensgeschichte wird mit dem Grabmal wieder lebendig. Viele Steinmetze führen mit den Hinterbliebenen lange Gespräche über das Leben und den Tod und denken sich so in die Persönlichkeit des Verstorbenen hinein.</w:t>
      </w:r>
    </w:p>
    <w:p w14:paraId="45E14A63" w14:textId="77777777" w:rsidR="00F24F9D" w:rsidRPr="00F24F9D" w:rsidRDefault="00F24F9D" w:rsidP="00DE2F22">
      <w:pPr>
        <w:jc w:val="both"/>
        <w:rPr>
          <w:rFonts w:ascii="Minion Pro" w:eastAsia="Calibri" w:hAnsi="Minion Pro"/>
          <w:b w:val="0"/>
          <w:bCs/>
          <w:sz w:val="24"/>
          <w:szCs w:val="24"/>
          <w:lang w:eastAsia="en-US"/>
        </w:rPr>
      </w:pPr>
    </w:p>
    <w:p w14:paraId="0B6D79CA" w14:textId="77777777" w:rsidR="0040055F" w:rsidRDefault="0040055F" w:rsidP="00DE2F22">
      <w:pPr>
        <w:jc w:val="both"/>
        <w:rPr>
          <w:rFonts w:ascii="Minion Pro" w:eastAsia="Calibri" w:hAnsi="Minion Pro"/>
          <w:sz w:val="24"/>
          <w:szCs w:val="24"/>
          <w:lang w:eastAsia="en-US"/>
        </w:rPr>
      </w:pPr>
    </w:p>
    <w:p w14:paraId="6EEF8C55" w14:textId="21C7DCC7" w:rsidR="00F24F9D" w:rsidRPr="00DE2F22" w:rsidRDefault="00F24F9D" w:rsidP="00DE2F22">
      <w:pPr>
        <w:jc w:val="both"/>
        <w:rPr>
          <w:rFonts w:ascii="Minion Pro" w:eastAsia="Calibri" w:hAnsi="Minion Pro"/>
          <w:sz w:val="24"/>
          <w:szCs w:val="24"/>
          <w:lang w:eastAsia="en-US"/>
        </w:rPr>
      </w:pPr>
      <w:r w:rsidRPr="00DE2F22">
        <w:rPr>
          <w:rFonts w:ascii="Minion Pro" w:eastAsia="Calibri" w:hAnsi="Minion Pro"/>
          <w:sz w:val="24"/>
          <w:szCs w:val="24"/>
          <w:lang w:eastAsia="en-US"/>
        </w:rPr>
        <w:t>Verlust des Erinnerungsortes</w:t>
      </w:r>
    </w:p>
    <w:p w14:paraId="76E786F2" w14:textId="6668DF95" w:rsidR="00F24F9D" w:rsidRPr="00F24F9D" w:rsidRDefault="00F24F9D" w:rsidP="00DE2F22">
      <w:pPr>
        <w:jc w:val="both"/>
        <w:rPr>
          <w:rFonts w:ascii="Minion Pro" w:eastAsia="Calibri" w:hAnsi="Minion Pro"/>
          <w:b w:val="0"/>
          <w:bCs/>
          <w:sz w:val="24"/>
          <w:szCs w:val="24"/>
          <w:lang w:eastAsia="en-US"/>
        </w:rPr>
      </w:pPr>
      <w:r w:rsidRPr="00F24F9D">
        <w:rPr>
          <w:rFonts w:ascii="Minion Pro" w:eastAsia="Calibri" w:hAnsi="Minion Pro"/>
          <w:b w:val="0"/>
          <w:bCs/>
          <w:sz w:val="24"/>
          <w:szCs w:val="24"/>
          <w:lang w:eastAsia="en-US"/>
        </w:rPr>
        <w:t>Besonders schmerzlich ist es, wenn kein Grab auf einem Friedhof in Wohnortnähe existiert. Familien, Freunde, Nachbarn und ehemalige Kolleginnen und Kollegen verlieren damit einen zentralen Ort des Gedenkens. Wo kein Grabstein steht, fehlt ein sichtbarer Bezugspunkt für gemeinsame Erinnerungen</w:t>
      </w:r>
      <w:r w:rsidR="0040055F">
        <w:rPr>
          <w:rFonts w:ascii="Minion Pro" w:eastAsia="Calibri" w:hAnsi="Minion Pro"/>
          <w:b w:val="0"/>
          <w:bCs/>
          <w:sz w:val="24"/>
          <w:szCs w:val="24"/>
          <w:lang w:eastAsia="en-US"/>
        </w:rPr>
        <w:t>, Begegnungen</w:t>
      </w:r>
      <w:r w:rsidRPr="00F24F9D">
        <w:rPr>
          <w:rFonts w:ascii="Minion Pro" w:eastAsia="Calibri" w:hAnsi="Minion Pro"/>
          <w:b w:val="0"/>
          <w:bCs/>
          <w:sz w:val="24"/>
          <w:szCs w:val="24"/>
          <w:lang w:eastAsia="en-US"/>
        </w:rPr>
        <w:t xml:space="preserve"> und stille Besinnung. Die gesellschaftliche und persönliche Funktion des Friedhofs – als Raum für Begegnung mit der Vergangenheit und Träger kultureller Erinnerung – geht dadurch verloren.</w:t>
      </w:r>
      <w:r w:rsidR="00DE2F22">
        <w:rPr>
          <w:rFonts w:ascii="Minion Pro" w:eastAsia="Calibri" w:hAnsi="Minion Pro"/>
          <w:b w:val="0"/>
          <w:bCs/>
          <w:sz w:val="24"/>
          <w:szCs w:val="24"/>
          <w:lang w:eastAsia="en-US"/>
        </w:rPr>
        <w:t xml:space="preserve"> Dies wird an den Trauergedenktagen im November besonders sichtbar</w:t>
      </w:r>
      <w:r w:rsidR="0040055F">
        <w:rPr>
          <w:rFonts w:ascii="Minion Pro" w:eastAsia="Calibri" w:hAnsi="Minion Pro"/>
          <w:b w:val="0"/>
          <w:bCs/>
          <w:sz w:val="24"/>
          <w:szCs w:val="24"/>
          <w:lang w:eastAsia="en-US"/>
        </w:rPr>
        <w:t>.</w:t>
      </w:r>
    </w:p>
    <w:p w14:paraId="2B30EBAD" w14:textId="77777777" w:rsidR="00F24F9D" w:rsidRPr="00F24F9D" w:rsidRDefault="00F24F9D" w:rsidP="00DE2F22">
      <w:pPr>
        <w:jc w:val="both"/>
        <w:rPr>
          <w:rFonts w:ascii="Minion Pro" w:eastAsia="Calibri" w:hAnsi="Minion Pro"/>
          <w:b w:val="0"/>
          <w:bCs/>
          <w:sz w:val="24"/>
          <w:szCs w:val="24"/>
          <w:lang w:eastAsia="en-US"/>
        </w:rPr>
      </w:pPr>
    </w:p>
    <w:p w14:paraId="2446BCF0" w14:textId="62BE9541" w:rsidR="00946B64" w:rsidRDefault="00F24F9D" w:rsidP="00DE2F22">
      <w:pPr>
        <w:jc w:val="both"/>
        <w:rPr>
          <w:rFonts w:ascii="Minion Pro" w:eastAsia="Calibri" w:hAnsi="Minion Pro"/>
          <w:b w:val="0"/>
          <w:bCs/>
          <w:sz w:val="24"/>
          <w:szCs w:val="24"/>
          <w:lang w:eastAsia="en-US"/>
        </w:rPr>
      </w:pPr>
      <w:r w:rsidRPr="00F24F9D">
        <w:rPr>
          <w:rFonts w:ascii="Minion Pro" w:eastAsia="Calibri" w:hAnsi="Minion Pro"/>
          <w:b w:val="0"/>
          <w:bCs/>
          <w:sz w:val="24"/>
          <w:szCs w:val="24"/>
          <w:lang w:eastAsia="en-US"/>
        </w:rPr>
        <w:t>Gerade im November mahnen die Trauergedenktage daran: Erinnern braucht Orte. Friedhöfe, Gräber und Grabmale sind Brücken zwischen Vergangenheit und Gegenwart – stille Zeugen gelebten Lebens und Zeichen der bleibenden Verbundenheit.</w:t>
      </w:r>
    </w:p>
    <w:p w14:paraId="4470D261" w14:textId="46F8B347" w:rsidR="00342162" w:rsidRDefault="00342162" w:rsidP="00DE2F22">
      <w:pPr>
        <w:jc w:val="both"/>
        <w:rPr>
          <w:rFonts w:ascii="Minion Pro" w:eastAsia="Calibri" w:hAnsi="Minion Pro"/>
          <w:b w:val="0"/>
          <w:bCs/>
          <w:sz w:val="24"/>
          <w:szCs w:val="24"/>
          <w:lang w:eastAsia="en-US"/>
        </w:rPr>
      </w:pPr>
    </w:p>
    <w:p w14:paraId="28BA3CB4" w14:textId="4F697ABC" w:rsidR="00CE1661" w:rsidRPr="00CE1661" w:rsidRDefault="00614AF6" w:rsidP="00CE1661">
      <w:pPr>
        <w:jc w:val="both"/>
        <w:rPr>
          <w:rFonts w:ascii="Minion Pro" w:eastAsia="Calibri" w:hAnsi="Minion Pro"/>
          <w:b w:val="0"/>
          <w:bCs/>
          <w:i/>
          <w:iCs/>
          <w:sz w:val="24"/>
          <w:szCs w:val="24"/>
          <w:lang w:eastAsia="en-US"/>
        </w:rPr>
      </w:pPr>
      <w:r>
        <w:rPr>
          <w:noProof/>
        </w:rPr>
        <w:drawing>
          <wp:inline distT="0" distB="0" distL="0" distR="0" wp14:anchorId="0D2855EA" wp14:editId="58313C76">
            <wp:extent cx="4165600" cy="312420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5600" cy="3124200"/>
                    </a:xfrm>
                    <a:prstGeom prst="rect">
                      <a:avLst/>
                    </a:prstGeom>
                    <a:noFill/>
                    <a:ln>
                      <a:noFill/>
                    </a:ln>
                  </pic:spPr>
                </pic:pic>
              </a:graphicData>
            </a:graphic>
          </wp:inline>
        </w:drawing>
      </w:r>
    </w:p>
    <w:p w14:paraId="7CECC652" w14:textId="77777777" w:rsidR="00DE2F22" w:rsidRPr="00F24F9D" w:rsidRDefault="00DE2F22" w:rsidP="00DE2F22">
      <w:pPr>
        <w:jc w:val="both"/>
        <w:rPr>
          <w:rFonts w:ascii="Minion Pro" w:eastAsia="Calibri" w:hAnsi="Minion Pro"/>
          <w:b w:val="0"/>
          <w:bCs/>
          <w:i/>
          <w:iCs/>
          <w:sz w:val="24"/>
          <w:szCs w:val="24"/>
          <w:lang w:eastAsia="en-US"/>
        </w:rPr>
      </w:pPr>
    </w:p>
    <w:p w14:paraId="4A979993" w14:textId="017062DE" w:rsidR="00F15146" w:rsidRDefault="00F15146" w:rsidP="00F15146">
      <w:pPr>
        <w:rPr>
          <w:rFonts w:ascii="Minion Pro" w:eastAsia="Calibri" w:hAnsi="Minion Pro"/>
          <w:b w:val="0"/>
          <w:i/>
          <w:iCs/>
          <w:sz w:val="24"/>
          <w:szCs w:val="24"/>
          <w:lang w:eastAsia="en-US"/>
        </w:rPr>
      </w:pPr>
      <w:r w:rsidRPr="00F15146">
        <w:rPr>
          <w:rFonts w:ascii="Minion Pro" w:eastAsia="Calibri" w:hAnsi="Minion Pro"/>
          <w:b w:val="0"/>
          <w:i/>
          <w:iCs/>
          <w:noProof/>
          <w:sz w:val="24"/>
          <w:szCs w:val="24"/>
          <w:lang w:eastAsia="en-US"/>
        </w:rPr>
        <w:drawing>
          <wp:inline distT="0" distB="0" distL="0" distR="0" wp14:anchorId="21CCD86D" wp14:editId="53B7A9DA">
            <wp:extent cx="4177542" cy="27965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2210" cy="2806359"/>
                    </a:xfrm>
                    <a:prstGeom prst="rect">
                      <a:avLst/>
                    </a:prstGeom>
                    <a:noFill/>
                    <a:ln>
                      <a:noFill/>
                    </a:ln>
                  </pic:spPr>
                </pic:pic>
              </a:graphicData>
            </a:graphic>
          </wp:inline>
        </w:drawing>
      </w:r>
    </w:p>
    <w:p w14:paraId="7AD5DAEA" w14:textId="02F953A8" w:rsidR="00946B64" w:rsidRDefault="00946B64" w:rsidP="00946B64">
      <w:pPr>
        <w:rPr>
          <w:rFonts w:ascii="Minion Pro" w:eastAsia="Calibri" w:hAnsi="Minion Pro"/>
          <w:b w:val="0"/>
          <w:i/>
          <w:iCs/>
          <w:sz w:val="24"/>
          <w:szCs w:val="24"/>
          <w:lang w:eastAsia="en-US"/>
        </w:rPr>
      </w:pPr>
    </w:p>
    <w:p w14:paraId="721A27BF" w14:textId="73E9663D" w:rsidR="00CE1661" w:rsidRDefault="00CE1661" w:rsidP="00CE1661">
      <w:pPr>
        <w:rPr>
          <w:rFonts w:ascii="Minion Pro" w:eastAsia="Calibri" w:hAnsi="Minion Pro"/>
          <w:b w:val="0"/>
          <w:i/>
          <w:iCs/>
          <w:sz w:val="24"/>
          <w:szCs w:val="24"/>
          <w:lang w:eastAsia="en-US"/>
        </w:rPr>
      </w:pPr>
      <w:r w:rsidRPr="00CE1661">
        <w:rPr>
          <w:rFonts w:ascii="Minion Pro" w:eastAsia="Calibri" w:hAnsi="Minion Pro"/>
          <w:b w:val="0"/>
          <w:i/>
          <w:iCs/>
          <w:sz w:val="24"/>
          <w:szCs w:val="24"/>
          <w:lang w:eastAsia="en-US"/>
        </w:rPr>
        <w:lastRenderedPageBreak/>
        <w:drawing>
          <wp:inline distT="0" distB="0" distL="0" distR="0" wp14:anchorId="4B435B80" wp14:editId="0980A4B4">
            <wp:extent cx="4114800" cy="30861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14:paraId="5C041729" w14:textId="23F97A68" w:rsidR="00614AF6" w:rsidRDefault="00614AF6" w:rsidP="00CE1661">
      <w:pPr>
        <w:rPr>
          <w:rFonts w:ascii="Minion Pro" w:eastAsia="Calibri" w:hAnsi="Minion Pro"/>
          <w:b w:val="0"/>
          <w:i/>
          <w:iCs/>
          <w:sz w:val="24"/>
          <w:szCs w:val="24"/>
          <w:lang w:eastAsia="en-US"/>
        </w:rPr>
      </w:pPr>
    </w:p>
    <w:p w14:paraId="34D99A95" w14:textId="628DA0F1" w:rsidR="00614AF6" w:rsidRPr="00CE1661" w:rsidRDefault="00614AF6" w:rsidP="00CE1661">
      <w:pPr>
        <w:rPr>
          <w:rFonts w:ascii="Minion Pro" w:eastAsia="Calibri" w:hAnsi="Minion Pro"/>
          <w:b w:val="0"/>
          <w:i/>
          <w:iCs/>
          <w:sz w:val="24"/>
          <w:szCs w:val="24"/>
          <w:lang w:eastAsia="en-US"/>
        </w:rPr>
      </w:pPr>
      <w:r>
        <w:rPr>
          <w:noProof/>
        </w:rPr>
        <w:drawing>
          <wp:inline distT="0" distB="0" distL="0" distR="0" wp14:anchorId="510C0B42" wp14:editId="5A4D4C54">
            <wp:extent cx="4124960" cy="3093720"/>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4960" cy="3093720"/>
                    </a:xfrm>
                    <a:prstGeom prst="rect">
                      <a:avLst/>
                    </a:prstGeom>
                    <a:noFill/>
                    <a:ln>
                      <a:noFill/>
                    </a:ln>
                  </pic:spPr>
                </pic:pic>
              </a:graphicData>
            </a:graphic>
          </wp:inline>
        </w:drawing>
      </w:r>
    </w:p>
    <w:p w14:paraId="320B094E" w14:textId="77777777" w:rsidR="00CE1661" w:rsidRPr="002A5256" w:rsidRDefault="00CE1661" w:rsidP="00946B64">
      <w:pPr>
        <w:rPr>
          <w:rFonts w:ascii="Minion Pro" w:eastAsia="Calibri" w:hAnsi="Minion Pro"/>
          <w:b w:val="0"/>
          <w:i/>
          <w:iCs/>
          <w:sz w:val="24"/>
          <w:szCs w:val="24"/>
          <w:lang w:eastAsia="en-US"/>
        </w:rPr>
      </w:pPr>
    </w:p>
    <w:p w14:paraId="793C2AB5" w14:textId="77777777" w:rsidR="00946B64" w:rsidRPr="002A5256" w:rsidRDefault="00946B64" w:rsidP="00946B64">
      <w:pPr>
        <w:rPr>
          <w:rFonts w:ascii="Minion Pro" w:eastAsia="Calibri" w:hAnsi="Minion Pro"/>
          <w:bCs/>
          <w:sz w:val="24"/>
          <w:szCs w:val="24"/>
          <w:u w:val="single"/>
          <w:lang w:eastAsia="en-US"/>
        </w:rPr>
      </w:pPr>
      <w:r w:rsidRPr="002A5256">
        <w:rPr>
          <w:rFonts w:ascii="Minion Pro" w:eastAsia="Calibri" w:hAnsi="Minion Pro"/>
          <w:bCs/>
          <w:sz w:val="24"/>
          <w:szCs w:val="24"/>
          <w:u w:val="single"/>
          <w:lang w:eastAsia="en-US"/>
        </w:rPr>
        <w:t>Absender und Pressekontakt:</w:t>
      </w:r>
    </w:p>
    <w:p w14:paraId="143F4A95" w14:textId="77777777" w:rsidR="00946B64" w:rsidRPr="00B27A30" w:rsidRDefault="00946B64" w:rsidP="00946B64">
      <w:pPr>
        <w:rPr>
          <w:rFonts w:ascii="Minion Pro" w:eastAsia="Calibri" w:hAnsi="Minion Pro"/>
          <w:b w:val="0"/>
          <w:sz w:val="24"/>
          <w:szCs w:val="24"/>
          <w:lang w:eastAsia="en-US"/>
        </w:rPr>
      </w:pPr>
      <w:r w:rsidRPr="00B27A30">
        <w:rPr>
          <w:rFonts w:ascii="Minion Pro" w:eastAsia="Calibri" w:hAnsi="Minion Pro"/>
          <w:b w:val="0"/>
          <w:sz w:val="24"/>
          <w:szCs w:val="24"/>
          <w:lang w:eastAsia="en-US"/>
        </w:rPr>
        <w:t>Bundesverband Deutscher Steinmetze</w:t>
      </w:r>
    </w:p>
    <w:p w14:paraId="7FE72938" w14:textId="77777777" w:rsidR="00946B64" w:rsidRPr="00B27A30" w:rsidRDefault="00946B64" w:rsidP="00946B64">
      <w:pPr>
        <w:rPr>
          <w:rFonts w:ascii="Minion Pro" w:eastAsia="Calibri" w:hAnsi="Minion Pro"/>
          <w:b w:val="0"/>
          <w:sz w:val="24"/>
          <w:szCs w:val="24"/>
          <w:lang w:eastAsia="en-US"/>
        </w:rPr>
      </w:pPr>
      <w:r w:rsidRPr="00B27A30">
        <w:rPr>
          <w:rFonts w:ascii="Minion Pro" w:eastAsia="Calibri" w:hAnsi="Minion Pro"/>
          <w:b w:val="0"/>
          <w:sz w:val="24"/>
          <w:szCs w:val="24"/>
          <w:lang w:eastAsia="en-US"/>
        </w:rPr>
        <w:t>Weißkirchener Weg 16</w:t>
      </w:r>
      <w:r>
        <w:rPr>
          <w:rFonts w:ascii="Minion Pro" w:eastAsia="Calibri" w:hAnsi="Minion Pro"/>
          <w:b w:val="0"/>
          <w:sz w:val="24"/>
          <w:szCs w:val="24"/>
          <w:lang w:eastAsia="en-US"/>
        </w:rPr>
        <w:t xml:space="preserve">, </w:t>
      </w:r>
      <w:r w:rsidRPr="00B27A30">
        <w:rPr>
          <w:rFonts w:ascii="Minion Pro" w:eastAsia="Calibri" w:hAnsi="Minion Pro"/>
          <w:b w:val="0"/>
          <w:sz w:val="24"/>
          <w:szCs w:val="24"/>
          <w:lang w:eastAsia="en-US"/>
        </w:rPr>
        <w:t>D-60439 Frankfurt am Main</w:t>
      </w:r>
      <w:r>
        <w:rPr>
          <w:rFonts w:ascii="Minion Pro" w:eastAsia="Calibri" w:hAnsi="Minion Pro"/>
          <w:b w:val="0"/>
          <w:sz w:val="24"/>
          <w:szCs w:val="24"/>
          <w:lang w:eastAsia="en-US"/>
        </w:rPr>
        <w:t>,</w:t>
      </w:r>
    </w:p>
    <w:p w14:paraId="62253803" w14:textId="77777777" w:rsidR="00946B64" w:rsidRPr="00B27A30" w:rsidRDefault="00946B64" w:rsidP="00946B64">
      <w:pPr>
        <w:rPr>
          <w:rFonts w:ascii="Minion Pro" w:hAnsi="Minion Pro"/>
          <w:b w:val="0"/>
          <w:spacing w:val="40"/>
          <w:sz w:val="24"/>
          <w:szCs w:val="24"/>
        </w:rPr>
      </w:pPr>
      <w:r w:rsidRPr="00B27A30">
        <w:rPr>
          <w:rFonts w:ascii="Minion Pro" w:eastAsia="Calibri" w:hAnsi="Minion Pro"/>
          <w:b w:val="0"/>
          <w:sz w:val="24"/>
          <w:szCs w:val="24"/>
          <w:lang w:eastAsia="en-US"/>
        </w:rPr>
        <w:t>Telefon: ++49 (0) 69 - 576 098</w:t>
      </w:r>
      <w:r>
        <w:rPr>
          <w:rFonts w:ascii="Minion Pro" w:eastAsia="Calibri" w:hAnsi="Minion Pro"/>
          <w:b w:val="0"/>
          <w:sz w:val="24"/>
          <w:szCs w:val="24"/>
          <w:lang w:eastAsia="en-US"/>
        </w:rPr>
        <w:t xml:space="preserve">, </w:t>
      </w:r>
      <w:r w:rsidRPr="00B27A30">
        <w:rPr>
          <w:rFonts w:ascii="Minion Pro" w:eastAsia="Calibri" w:hAnsi="Minion Pro"/>
          <w:b w:val="0"/>
          <w:sz w:val="24"/>
          <w:szCs w:val="24"/>
          <w:lang w:eastAsia="en-US"/>
        </w:rPr>
        <w:t>Telefax: ++49 (0) 69 - 576 090</w:t>
      </w:r>
      <w:r>
        <w:rPr>
          <w:rFonts w:ascii="Minion Pro" w:eastAsia="Calibri" w:hAnsi="Minion Pro"/>
          <w:b w:val="0"/>
          <w:sz w:val="24"/>
          <w:szCs w:val="24"/>
          <w:lang w:eastAsia="en-US"/>
        </w:rPr>
        <w:t xml:space="preserve">, </w:t>
      </w:r>
      <w:r w:rsidRPr="00B27A30">
        <w:rPr>
          <w:rFonts w:ascii="Minion Pro" w:eastAsia="Calibri" w:hAnsi="Minion Pro"/>
          <w:b w:val="0"/>
          <w:sz w:val="24"/>
          <w:szCs w:val="24"/>
          <w:lang w:eastAsia="en-US"/>
        </w:rPr>
        <w:t>info@biv-steinmetz.de</w:t>
      </w:r>
    </w:p>
    <w:p w14:paraId="3B81BD40" w14:textId="6A877B78" w:rsidR="00946B64" w:rsidRDefault="0040055F" w:rsidP="00946B64">
      <w:pPr>
        <w:widowControl w:val="0"/>
        <w:autoSpaceDE w:val="0"/>
        <w:autoSpaceDN w:val="0"/>
        <w:adjustRightInd w:val="0"/>
        <w:spacing w:line="360" w:lineRule="auto"/>
        <w:jc w:val="both"/>
        <w:textAlignment w:val="center"/>
      </w:pPr>
      <w:hyperlink r:id="rId11" w:history="1">
        <w:r w:rsidRPr="00495F23">
          <w:rPr>
            <w:rStyle w:val="Hyperlink"/>
          </w:rPr>
          <w:t>www.bivsteinmetz.de/pressemitteilungen.html</w:t>
        </w:r>
      </w:hyperlink>
    </w:p>
    <w:p w14:paraId="677178A6" w14:textId="77777777" w:rsidR="0040055F" w:rsidRPr="00F91ED6" w:rsidRDefault="0040055F" w:rsidP="00946B64">
      <w:pPr>
        <w:widowControl w:val="0"/>
        <w:autoSpaceDE w:val="0"/>
        <w:autoSpaceDN w:val="0"/>
        <w:adjustRightInd w:val="0"/>
        <w:spacing w:line="360" w:lineRule="auto"/>
        <w:jc w:val="both"/>
        <w:textAlignment w:val="center"/>
        <w:rPr>
          <w:rFonts w:ascii="Minion Pro" w:eastAsia="MS Mincho" w:hAnsi="Minion Pro" w:cs="HelveticaNeue-Light"/>
          <w:b w:val="0"/>
          <w:color w:val="000000"/>
          <w:sz w:val="24"/>
          <w:szCs w:val="24"/>
        </w:rPr>
      </w:pPr>
    </w:p>
    <w:p w14:paraId="7B4625C6" w14:textId="31AF736C" w:rsidR="00946B64" w:rsidRPr="00F15146" w:rsidRDefault="00F15146">
      <w:pPr>
        <w:rPr>
          <w:rFonts w:ascii="Minion Pro" w:eastAsia="Calibri" w:hAnsi="Minion Pro"/>
          <w:b w:val="0"/>
          <w:sz w:val="24"/>
          <w:szCs w:val="24"/>
          <w:lang w:eastAsia="en-US"/>
        </w:rPr>
      </w:pPr>
      <w:r w:rsidRPr="00F15146">
        <w:rPr>
          <w:rFonts w:ascii="Minion Pro" w:eastAsia="Calibri" w:hAnsi="Minion Pro"/>
          <w:b w:val="0"/>
          <w:sz w:val="24"/>
          <w:szCs w:val="24"/>
          <w:lang w:eastAsia="en-US"/>
        </w:rPr>
        <w:t>Foto: BIV Steinmetze</w:t>
      </w:r>
      <w:r w:rsidR="0040055F">
        <w:rPr>
          <w:rFonts w:ascii="Minion Pro" w:eastAsia="Calibri" w:hAnsi="Minion Pro"/>
          <w:b w:val="0"/>
          <w:sz w:val="24"/>
          <w:szCs w:val="24"/>
          <w:lang w:eastAsia="en-US"/>
        </w:rPr>
        <w:t>/Trawinski</w:t>
      </w:r>
    </w:p>
    <w:sectPr w:rsidR="00946B64" w:rsidRPr="00F15146" w:rsidSect="00700C98">
      <w:headerReference w:type="default" r:id="rId12"/>
      <w:pgSz w:w="11906" w:h="16838"/>
      <w:pgMar w:top="1417" w:right="1417" w:bottom="1134" w:left="1417" w:header="17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95F5F" w14:textId="77777777" w:rsidR="00700C98" w:rsidRDefault="00700C98" w:rsidP="00700C98">
      <w:r>
        <w:separator/>
      </w:r>
    </w:p>
  </w:endnote>
  <w:endnote w:type="continuationSeparator" w:id="0">
    <w:p w14:paraId="1AC73F9F" w14:textId="77777777" w:rsidR="00700C98" w:rsidRDefault="00700C98" w:rsidP="00700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altName w:val="Cambria"/>
    <w:panose1 w:val="00000000000000000000"/>
    <w:charset w:val="00"/>
    <w:family w:val="roman"/>
    <w:notTrueType/>
    <w:pitch w:val="variable"/>
    <w:sig w:usb0="E00002AF" w:usb1="5000E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50EEB" w14:textId="77777777" w:rsidR="00700C98" w:rsidRDefault="00700C98" w:rsidP="00700C98">
      <w:r>
        <w:separator/>
      </w:r>
    </w:p>
  </w:footnote>
  <w:footnote w:type="continuationSeparator" w:id="0">
    <w:p w14:paraId="68383F02" w14:textId="77777777" w:rsidR="00700C98" w:rsidRDefault="00700C98" w:rsidP="00700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A03E" w14:textId="77777777" w:rsidR="00700C98" w:rsidRDefault="00700C98">
    <w:pPr>
      <w:pStyle w:val="Kopfzeile"/>
    </w:pPr>
    <w:r>
      <w:ptab w:relativeTo="margin" w:alignment="center" w:leader="none"/>
    </w:r>
    <w:r>
      <w:rPr>
        <w:noProof/>
      </w:rPr>
      <w:drawing>
        <wp:inline distT="0" distB="0" distL="0" distR="0" wp14:anchorId="1C191F16" wp14:editId="0ACA4F49">
          <wp:extent cx="5760720" cy="107188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kopfzeile.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0718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C98"/>
    <w:rsid w:val="00204C41"/>
    <w:rsid w:val="002466A1"/>
    <w:rsid w:val="002A5256"/>
    <w:rsid w:val="002E4F54"/>
    <w:rsid w:val="0031256C"/>
    <w:rsid w:val="00342162"/>
    <w:rsid w:val="00367ACA"/>
    <w:rsid w:val="0040055F"/>
    <w:rsid w:val="00452CEF"/>
    <w:rsid w:val="00614AF6"/>
    <w:rsid w:val="00700C98"/>
    <w:rsid w:val="008E3145"/>
    <w:rsid w:val="00946B64"/>
    <w:rsid w:val="009D0A7F"/>
    <w:rsid w:val="00B02B03"/>
    <w:rsid w:val="00B26B8D"/>
    <w:rsid w:val="00CE1661"/>
    <w:rsid w:val="00DA5D55"/>
    <w:rsid w:val="00DE2F22"/>
    <w:rsid w:val="00E0737C"/>
    <w:rsid w:val="00F15146"/>
    <w:rsid w:val="00F24F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505127"/>
  <w15:chartTrackingRefBased/>
  <w15:docId w15:val="{DE9E5DB6-41B1-49E4-8502-BDFE2460D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46B64"/>
    <w:pPr>
      <w:spacing w:after="0" w:line="240" w:lineRule="auto"/>
    </w:pPr>
    <w:rPr>
      <w:rFonts w:ascii="Arial" w:eastAsia="Times New Roman" w:hAnsi="Arial" w:cs="Arial"/>
      <w:b/>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0C98"/>
    <w:pPr>
      <w:tabs>
        <w:tab w:val="center" w:pos="4536"/>
        <w:tab w:val="right" w:pos="9072"/>
      </w:tabs>
    </w:pPr>
    <w:rPr>
      <w:rFonts w:asciiTheme="minorHAnsi" w:eastAsiaTheme="minorHAnsi" w:hAnsiTheme="minorHAnsi" w:cstheme="minorBidi"/>
      <w:b w:val="0"/>
      <w:lang w:eastAsia="en-US"/>
    </w:rPr>
  </w:style>
  <w:style w:type="character" w:customStyle="1" w:styleId="KopfzeileZchn">
    <w:name w:val="Kopfzeile Zchn"/>
    <w:basedOn w:val="Absatz-Standardschriftart"/>
    <w:link w:val="Kopfzeile"/>
    <w:uiPriority w:val="99"/>
    <w:rsid w:val="00700C98"/>
  </w:style>
  <w:style w:type="paragraph" w:styleId="Fuzeile">
    <w:name w:val="footer"/>
    <w:basedOn w:val="Standard"/>
    <w:link w:val="FuzeileZchn"/>
    <w:uiPriority w:val="99"/>
    <w:unhideWhenUsed/>
    <w:rsid w:val="00700C98"/>
    <w:pPr>
      <w:tabs>
        <w:tab w:val="center" w:pos="4536"/>
        <w:tab w:val="right" w:pos="9072"/>
      </w:tabs>
    </w:pPr>
    <w:rPr>
      <w:rFonts w:asciiTheme="minorHAnsi" w:eastAsiaTheme="minorHAnsi" w:hAnsiTheme="minorHAnsi" w:cstheme="minorBidi"/>
      <w:b w:val="0"/>
      <w:lang w:eastAsia="en-US"/>
    </w:rPr>
  </w:style>
  <w:style w:type="character" w:customStyle="1" w:styleId="FuzeileZchn">
    <w:name w:val="Fußzeile Zchn"/>
    <w:basedOn w:val="Absatz-Standardschriftart"/>
    <w:link w:val="Fuzeile"/>
    <w:uiPriority w:val="99"/>
    <w:rsid w:val="00700C98"/>
  </w:style>
  <w:style w:type="character" w:styleId="Hyperlink">
    <w:name w:val="Hyperlink"/>
    <w:uiPriority w:val="99"/>
    <w:unhideWhenUsed/>
    <w:rsid w:val="00946B64"/>
    <w:rPr>
      <w:color w:val="0000FF"/>
      <w:u w:val="single"/>
    </w:rPr>
  </w:style>
  <w:style w:type="character" w:styleId="NichtaufgelsteErwhnung">
    <w:name w:val="Unresolved Mention"/>
    <w:basedOn w:val="Absatz-Standardschriftart"/>
    <w:uiPriority w:val="99"/>
    <w:semiHidden/>
    <w:unhideWhenUsed/>
    <w:rsid w:val="004005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00276">
      <w:bodyDiv w:val="1"/>
      <w:marLeft w:val="0"/>
      <w:marRight w:val="0"/>
      <w:marTop w:val="0"/>
      <w:marBottom w:val="0"/>
      <w:divBdr>
        <w:top w:val="none" w:sz="0" w:space="0" w:color="auto"/>
        <w:left w:val="none" w:sz="0" w:space="0" w:color="auto"/>
        <w:bottom w:val="none" w:sz="0" w:space="0" w:color="auto"/>
        <w:right w:val="none" w:sz="0" w:space="0" w:color="auto"/>
      </w:divBdr>
    </w:div>
    <w:div w:id="151071264">
      <w:bodyDiv w:val="1"/>
      <w:marLeft w:val="0"/>
      <w:marRight w:val="0"/>
      <w:marTop w:val="0"/>
      <w:marBottom w:val="0"/>
      <w:divBdr>
        <w:top w:val="none" w:sz="0" w:space="0" w:color="auto"/>
        <w:left w:val="none" w:sz="0" w:space="0" w:color="auto"/>
        <w:bottom w:val="none" w:sz="0" w:space="0" w:color="auto"/>
        <w:right w:val="none" w:sz="0" w:space="0" w:color="auto"/>
      </w:divBdr>
    </w:div>
    <w:div w:id="119060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bivsteinmetz.de/pressemitteilungen.html"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A64D1-7D81-4BFD-AEE4-93F5E9681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547</Words>
  <Characters>3705</Characters>
  <Application>Microsoft Office Word</Application>
  <DocSecurity>0</DocSecurity>
  <Lines>90</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BIV Steinmetz News</dc:creator>
  <cp:keywords/>
  <dc:description/>
  <cp:lastModifiedBy>Sybille Trawinski</cp:lastModifiedBy>
  <cp:revision>4</cp:revision>
  <cp:lastPrinted>2025-10-21T21:09:00Z</cp:lastPrinted>
  <dcterms:created xsi:type="dcterms:W3CDTF">2025-10-21T20:20:00Z</dcterms:created>
  <dcterms:modified xsi:type="dcterms:W3CDTF">2025-10-21T21:20:00Z</dcterms:modified>
</cp:coreProperties>
</file>