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0D307" w14:textId="77777777" w:rsidR="007E7DDC" w:rsidRDefault="007E7DDC" w:rsidP="002F1ABA">
      <w:pPr>
        <w:rPr>
          <w:b w:val="0"/>
          <w:spacing w:val="40"/>
          <w:sz w:val="24"/>
          <w:szCs w:val="24"/>
        </w:rPr>
      </w:pPr>
    </w:p>
    <w:p w14:paraId="059CAA88" w14:textId="77777777" w:rsidR="0050427C" w:rsidRDefault="0050427C" w:rsidP="0050427C">
      <w:pPr>
        <w:spacing w:after="200" w:line="276" w:lineRule="auto"/>
        <w:rPr>
          <w:rFonts w:eastAsia="Calibri"/>
          <w:sz w:val="32"/>
          <w:szCs w:val="32"/>
          <w:lang w:eastAsia="en-US"/>
        </w:rPr>
      </w:pPr>
    </w:p>
    <w:p w14:paraId="6646E7F7" w14:textId="77777777" w:rsidR="0050427C" w:rsidRPr="00BD1847" w:rsidRDefault="0050427C" w:rsidP="0050427C">
      <w:pPr>
        <w:spacing w:after="200" w:line="276" w:lineRule="auto"/>
        <w:rPr>
          <w:rFonts w:eastAsia="Calibri"/>
          <w:color w:val="9D2F56"/>
          <w:spacing w:val="40"/>
          <w:sz w:val="28"/>
          <w:szCs w:val="28"/>
          <w:lang w:eastAsia="en-US"/>
        </w:rPr>
      </w:pPr>
      <w:r w:rsidRPr="00BD1847">
        <w:rPr>
          <w:rFonts w:eastAsia="Calibri"/>
          <w:color w:val="9D2F56"/>
          <w:spacing w:val="40"/>
          <w:sz w:val="28"/>
          <w:szCs w:val="28"/>
          <w:lang w:eastAsia="en-US"/>
        </w:rPr>
        <w:t>PRESSEMITTEILUNG</w:t>
      </w:r>
      <w:r w:rsidR="00BD1847" w:rsidRPr="00BD1847">
        <w:rPr>
          <w:rFonts w:eastAsia="Calibri"/>
          <w:color w:val="9D2F56"/>
          <w:spacing w:val="40"/>
          <w:sz w:val="28"/>
          <w:szCs w:val="28"/>
          <w:lang w:eastAsia="en-US"/>
        </w:rPr>
        <w:t xml:space="preserve"> </w:t>
      </w:r>
      <w:r w:rsidR="00CA1E48">
        <w:rPr>
          <w:rFonts w:eastAsia="Calibri"/>
          <w:color w:val="9D2F56"/>
          <w:spacing w:val="40"/>
          <w:sz w:val="28"/>
          <w:szCs w:val="28"/>
          <w:lang w:eastAsia="en-US"/>
        </w:rPr>
        <w:t>zum Konjunkturbericht I/2021</w:t>
      </w:r>
    </w:p>
    <w:p w14:paraId="493DD049" w14:textId="77777777" w:rsidR="00FE1690" w:rsidRDefault="0050427C" w:rsidP="00FE1690">
      <w:pPr>
        <w:spacing w:before="240" w:after="200" w:line="276" w:lineRule="auto"/>
        <w:rPr>
          <w:rFonts w:eastAsia="Calibri"/>
          <w:b w:val="0"/>
          <w:sz w:val="24"/>
          <w:szCs w:val="24"/>
          <w:lang w:eastAsia="en-US"/>
        </w:rPr>
      </w:pPr>
      <w:r w:rsidRPr="0050427C">
        <w:rPr>
          <w:rFonts w:eastAsia="Calibri"/>
          <w:b w:val="0"/>
          <w:sz w:val="24"/>
          <w:szCs w:val="24"/>
          <w:lang w:eastAsia="en-US"/>
        </w:rPr>
        <w:t xml:space="preserve">Frankfurt, </w:t>
      </w:r>
      <w:r w:rsidR="00CA1E48">
        <w:rPr>
          <w:rFonts w:eastAsia="Calibri"/>
          <w:b w:val="0"/>
          <w:sz w:val="24"/>
          <w:szCs w:val="24"/>
          <w:lang w:eastAsia="en-US"/>
        </w:rPr>
        <w:t>22</w:t>
      </w:r>
      <w:r w:rsidR="00603BDE">
        <w:rPr>
          <w:rFonts w:eastAsia="Calibri"/>
          <w:b w:val="0"/>
          <w:sz w:val="24"/>
          <w:szCs w:val="24"/>
          <w:lang w:eastAsia="en-US"/>
        </w:rPr>
        <w:t xml:space="preserve">. </w:t>
      </w:r>
      <w:r w:rsidR="00CA1E48">
        <w:rPr>
          <w:rFonts w:eastAsia="Calibri"/>
          <w:b w:val="0"/>
          <w:sz w:val="24"/>
          <w:szCs w:val="24"/>
          <w:lang w:eastAsia="en-US"/>
        </w:rPr>
        <w:t>November</w:t>
      </w:r>
      <w:r w:rsidR="00603BDE">
        <w:rPr>
          <w:rFonts w:eastAsia="Calibri"/>
          <w:b w:val="0"/>
          <w:sz w:val="24"/>
          <w:szCs w:val="24"/>
          <w:lang w:eastAsia="en-US"/>
        </w:rPr>
        <w:t xml:space="preserve"> 2021</w:t>
      </w:r>
    </w:p>
    <w:p w14:paraId="636C6D63" w14:textId="248E386B" w:rsidR="00CA1E48" w:rsidRPr="00CA1E48" w:rsidRDefault="0050427C" w:rsidP="00CA1E48">
      <w:pPr>
        <w:rPr>
          <w:sz w:val="24"/>
        </w:rPr>
      </w:pPr>
      <w:r>
        <w:rPr>
          <w:rFonts w:eastAsia="Calibri"/>
          <w:b w:val="0"/>
          <w:sz w:val="24"/>
          <w:szCs w:val="24"/>
          <w:lang w:eastAsia="en-US"/>
        </w:rPr>
        <w:br/>
      </w:r>
      <w:r w:rsidR="00CA1E48" w:rsidRPr="00021F5B">
        <w:rPr>
          <w:sz w:val="24"/>
        </w:rPr>
        <w:t>Konjunkturbericht I/20</w:t>
      </w:r>
      <w:r w:rsidR="00CA1E48">
        <w:rPr>
          <w:sz w:val="24"/>
        </w:rPr>
        <w:t>2</w:t>
      </w:r>
      <w:r w:rsidR="00891368">
        <w:rPr>
          <w:sz w:val="24"/>
        </w:rPr>
        <w:t>1</w:t>
      </w:r>
      <w:r w:rsidR="00CA1E48" w:rsidRPr="00021F5B">
        <w:rPr>
          <w:sz w:val="24"/>
        </w:rPr>
        <w:t xml:space="preserve">: </w:t>
      </w:r>
      <w:r w:rsidR="00CA1E48" w:rsidRPr="00CA1E48">
        <w:rPr>
          <w:sz w:val="24"/>
        </w:rPr>
        <w:t>Steinmetzkonjunktur im Aufwind</w:t>
      </w:r>
    </w:p>
    <w:p w14:paraId="51AD6C3F" w14:textId="77777777" w:rsidR="00CA1E48" w:rsidRPr="00FE1690" w:rsidRDefault="00CA1E48" w:rsidP="00276F8E">
      <w:pPr>
        <w:spacing w:line="360" w:lineRule="auto"/>
        <w:rPr>
          <w:rFonts w:eastAsia="Calibri"/>
          <w:b w:val="0"/>
          <w:sz w:val="24"/>
          <w:szCs w:val="24"/>
          <w:lang w:eastAsia="en-US"/>
        </w:rPr>
      </w:pPr>
    </w:p>
    <w:p w14:paraId="051E7B57" w14:textId="77777777" w:rsidR="00CA1E48" w:rsidRDefault="00CA1E48" w:rsidP="007341CB">
      <w:pPr>
        <w:spacing w:line="360" w:lineRule="auto"/>
        <w:jc w:val="both"/>
        <w:rPr>
          <w:rFonts w:eastAsia="Calibri"/>
          <w:b w:val="0"/>
          <w:sz w:val="24"/>
          <w:szCs w:val="24"/>
          <w:lang w:eastAsia="en-US"/>
        </w:rPr>
      </w:pPr>
      <w:r w:rsidRPr="00CA1E48">
        <w:rPr>
          <w:rFonts w:eastAsia="Calibri"/>
          <w:b w:val="0"/>
          <w:sz w:val="24"/>
          <w:szCs w:val="24"/>
          <w:lang w:eastAsia="en-US"/>
        </w:rPr>
        <w:t>Wie aus den Ergebnissen der aktuellen halbjährlichen Konjunkturumfrage des Bundesverbandes Deutscher Steinmetze hervorgeht, ist der konjunkturelle Rückschlag u.a. aufgrund des letzten Corona-Lockdowns Anfang des Jahres weitgehend überwunden; seit dem Frühling sind Auftragseingänge und Produktion in der Grundtendenz wieder deutlich aufwärtsgerichtet. Dem nun vorliegenden Konjunkturbericht I/2021 liegen die Angaben von 141 Betrieben mit unterschiedlich ausgeprägten Merkmalen aus dem gesamten Bundesgebiet zugrunde.</w:t>
      </w:r>
    </w:p>
    <w:p w14:paraId="7D6E72E5" w14:textId="77777777" w:rsidR="00CA1E48" w:rsidRPr="00CA1E48" w:rsidRDefault="00CA1E48" w:rsidP="007341CB">
      <w:pPr>
        <w:spacing w:line="360" w:lineRule="auto"/>
        <w:jc w:val="both"/>
        <w:rPr>
          <w:rFonts w:eastAsia="Calibri"/>
          <w:b w:val="0"/>
          <w:sz w:val="24"/>
          <w:szCs w:val="24"/>
          <w:lang w:eastAsia="en-US"/>
        </w:rPr>
      </w:pPr>
    </w:p>
    <w:p w14:paraId="113AC789" w14:textId="21A63272" w:rsidR="00CA1E48" w:rsidRPr="00CA1E48" w:rsidRDefault="00CA1E48" w:rsidP="007341CB">
      <w:pPr>
        <w:spacing w:line="360" w:lineRule="auto"/>
        <w:jc w:val="both"/>
        <w:rPr>
          <w:rFonts w:eastAsia="Calibri"/>
          <w:b w:val="0"/>
          <w:sz w:val="24"/>
          <w:szCs w:val="24"/>
          <w:lang w:eastAsia="en-US"/>
        </w:rPr>
      </w:pPr>
      <w:r w:rsidRPr="00CA1E48">
        <w:rPr>
          <w:rFonts w:eastAsia="Calibri"/>
          <w:b w:val="0"/>
          <w:sz w:val="24"/>
          <w:szCs w:val="24"/>
          <w:lang w:eastAsia="en-US"/>
        </w:rPr>
        <w:t xml:space="preserve">Das Konjunkturbild zeichnet sich durch eine anhaltend gute Nachfrage in den einzelnen Geschäftsbereichen, ein Umsatzplus und gute Bautätigkeit aus. Dies spiegelt sich auch in der teilweise hohen Nachfrage nach neuen Mitarbeitern wider. Die Steinmetzbetriebe beurteilten ihre </w:t>
      </w:r>
      <w:r w:rsidRPr="00CA1E48">
        <w:rPr>
          <w:rFonts w:eastAsia="Calibri"/>
          <w:sz w:val="24"/>
          <w:szCs w:val="24"/>
          <w:lang w:eastAsia="en-US"/>
        </w:rPr>
        <w:t>Geschäftslage</w:t>
      </w:r>
      <w:r w:rsidRPr="00CA1E48">
        <w:rPr>
          <w:rFonts w:eastAsia="Calibri"/>
          <w:b w:val="0"/>
          <w:sz w:val="24"/>
          <w:szCs w:val="24"/>
          <w:lang w:eastAsia="en-US"/>
        </w:rPr>
        <w:t xml:space="preserve"> besser als je zuvor in den ersten beiden Quartalen eines Jahres: Es wirkt</w:t>
      </w:r>
      <w:r w:rsidR="003F0A8D">
        <w:rPr>
          <w:rFonts w:eastAsia="Calibri"/>
          <w:b w:val="0"/>
          <w:sz w:val="24"/>
          <w:szCs w:val="24"/>
          <w:lang w:eastAsia="en-US"/>
        </w:rPr>
        <w:t>,</w:t>
      </w:r>
      <w:r w:rsidRPr="00CA1E48">
        <w:rPr>
          <w:rFonts w:eastAsia="Calibri"/>
          <w:b w:val="0"/>
          <w:sz w:val="24"/>
          <w:szCs w:val="24"/>
          <w:lang w:eastAsia="en-US"/>
        </w:rPr>
        <w:t xml:space="preserve"> als hätte sich die Natursteinbranche von den pandemiebedingten Einschränkungen abgekoppelt. So erreicht die Bewertung der Geschäftslage ein neues Allzeithoch: Starke 72,7 Prozent der Betriebsinhaber bezeichnen die Geschäftslage im ersten Halbjahr 2021 als gut (I/2020: 52 Prozent) und weitere </w:t>
      </w:r>
      <w:r w:rsidR="00AB74AD">
        <w:rPr>
          <w:rFonts w:eastAsia="Calibri"/>
          <w:b w:val="0"/>
          <w:sz w:val="24"/>
          <w:szCs w:val="24"/>
          <w:lang w:eastAsia="en-US"/>
        </w:rPr>
        <w:t>24,8</w:t>
      </w:r>
      <w:bookmarkStart w:id="0" w:name="_GoBack"/>
      <w:bookmarkEnd w:id="0"/>
      <w:r w:rsidRPr="00CA1E48">
        <w:rPr>
          <w:rFonts w:eastAsia="Calibri"/>
          <w:b w:val="0"/>
          <w:sz w:val="24"/>
          <w:szCs w:val="24"/>
          <w:lang w:eastAsia="en-US"/>
        </w:rPr>
        <w:t xml:space="preserve"> Prozent als zufriedenstellend (I/2020: 45 Prozent). Lediglich 2,5 Prozent beurteilen die momentane Geschäftssituation als schlecht (I/2020: 3 Prozent). Auch die Erwartungen an die Geschäftslage der zweiten Jahreshälfte wird von den Betriebsinhabern positiv eingeschätzt: 63,9 Prozent der </w:t>
      </w:r>
      <w:proofErr w:type="spellStart"/>
      <w:proofErr w:type="gramStart"/>
      <w:r w:rsidRPr="00CA1E48">
        <w:rPr>
          <w:rFonts w:eastAsia="Calibri"/>
          <w:b w:val="0"/>
          <w:sz w:val="24"/>
          <w:szCs w:val="24"/>
          <w:lang w:eastAsia="en-US"/>
        </w:rPr>
        <w:t>Umfrageteilnehmer:innen</w:t>
      </w:r>
      <w:proofErr w:type="spellEnd"/>
      <w:proofErr w:type="gramEnd"/>
      <w:r w:rsidRPr="00CA1E48">
        <w:rPr>
          <w:rFonts w:eastAsia="Calibri"/>
          <w:b w:val="0"/>
          <w:sz w:val="24"/>
          <w:szCs w:val="24"/>
          <w:lang w:eastAsia="en-US"/>
        </w:rPr>
        <w:t xml:space="preserve"> gehen von einer Trendfortsetzung aus, weitere 26 Prozent erwarten sogar eine Verbesserung der Geschäftslage in der zweiten Jahreshälfte.</w:t>
      </w:r>
    </w:p>
    <w:p w14:paraId="17058E7D" w14:textId="77777777" w:rsidR="00CA1E48" w:rsidRDefault="00CA1E48" w:rsidP="007341CB">
      <w:pPr>
        <w:spacing w:line="360" w:lineRule="auto"/>
        <w:jc w:val="both"/>
        <w:rPr>
          <w:rFonts w:eastAsia="Calibri"/>
          <w:b w:val="0"/>
          <w:sz w:val="24"/>
          <w:szCs w:val="24"/>
          <w:lang w:eastAsia="en-US"/>
        </w:rPr>
      </w:pPr>
      <w:r w:rsidRPr="00CA1E48">
        <w:rPr>
          <w:rFonts w:eastAsia="Calibri"/>
          <w:b w:val="0"/>
          <w:sz w:val="24"/>
          <w:szCs w:val="24"/>
          <w:lang w:eastAsia="en-US"/>
        </w:rPr>
        <w:t xml:space="preserve">Auch bei den </w:t>
      </w:r>
      <w:r w:rsidRPr="00CA1E48">
        <w:rPr>
          <w:rFonts w:eastAsia="Calibri"/>
          <w:sz w:val="24"/>
          <w:szCs w:val="24"/>
          <w:lang w:eastAsia="en-US"/>
        </w:rPr>
        <w:t>Auftragsbeständen</w:t>
      </w:r>
      <w:r w:rsidRPr="00CA1E48">
        <w:rPr>
          <w:rFonts w:eastAsia="Calibri"/>
          <w:b w:val="0"/>
          <w:sz w:val="24"/>
          <w:szCs w:val="24"/>
          <w:lang w:eastAsia="en-US"/>
        </w:rPr>
        <w:t xml:space="preserve"> aber auch teilweise bei den </w:t>
      </w:r>
      <w:r w:rsidRPr="00CA1E48">
        <w:rPr>
          <w:rFonts w:eastAsia="Calibri"/>
          <w:sz w:val="24"/>
          <w:szCs w:val="24"/>
          <w:lang w:eastAsia="en-US"/>
        </w:rPr>
        <w:t>Einkaufspreisen</w:t>
      </w:r>
      <w:r w:rsidRPr="00CA1E48">
        <w:rPr>
          <w:rFonts w:eastAsia="Calibri"/>
          <w:b w:val="0"/>
          <w:sz w:val="24"/>
          <w:szCs w:val="24"/>
          <w:lang w:eastAsia="en-US"/>
        </w:rPr>
        <w:t xml:space="preserve"> werden Höchststände gemeldet. So erreichen wir bei der Auslastung der betrieblichen </w:t>
      </w:r>
      <w:r w:rsidRPr="00CA1E48">
        <w:rPr>
          <w:rFonts w:eastAsia="Calibri"/>
          <w:b w:val="0"/>
          <w:sz w:val="24"/>
          <w:szCs w:val="24"/>
          <w:lang w:eastAsia="en-US"/>
        </w:rPr>
        <w:lastRenderedPageBreak/>
        <w:t xml:space="preserve">Auftragsreichweiten mit durchschnittlich 10,8 Wochen (I/2020: 8,3 Wochen) eine neue Höchstmarke bundesweit. Aus den Befragungsergebnissen lässt sich schlussfolgern, dass es die Mehrheit der Steinmetzbetriebe schafft, Mitarbeiter im Wesentlichen zu halten. Lag die durchschnittliche Beschäftigtenanzahl in der Umfrage des ersten Halbjahres 2020 bei 6,3 Beschäftigten, ist sie im zweiten Halbjahr 2020 auf durchschnittlich 6,7 Beschäftigten gestiegen, um sich dann bei durchschnittlich 6,6 Beschäftigten einzupendeln. </w:t>
      </w:r>
    </w:p>
    <w:p w14:paraId="4B382255" w14:textId="77777777" w:rsidR="00CA1E48" w:rsidRPr="00CA1E48" w:rsidRDefault="00CA1E48" w:rsidP="007341CB">
      <w:pPr>
        <w:spacing w:line="360" w:lineRule="auto"/>
        <w:jc w:val="both"/>
        <w:rPr>
          <w:rFonts w:eastAsia="Calibri"/>
          <w:b w:val="0"/>
          <w:sz w:val="24"/>
          <w:szCs w:val="24"/>
          <w:lang w:eastAsia="en-US"/>
        </w:rPr>
      </w:pPr>
    </w:p>
    <w:p w14:paraId="4389F750" w14:textId="1F5F8722" w:rsidR="00CA1E48" w:rsidRDefault="00CA1E48" w:rsidP="007341CB">
      <w:pPr>
        <w:spacing w:line="360" w:lineRule="auto"/>
        <w:jc w:val="both"/>
        <w:rPr>
          <w:rFonts w:eastAsia="Calibri"/>
          <w:b w:val="0"/>
          <w:sz w:val="24"/>
          <w:szCs w:val="24"/>
          <w:lang w:eastAsia="en-US"/>
        </w:rPr>
      </w:pPr>
      <w:r w:rsidRPr="00CA1E48">
        <w:rPr>
          <w:rFonts w:eastAsia="Calibri"/>
          <w:b w:val="0"/>
          <w:sz w:val="24"/>
          <w:szCs w:val="24"/>
          <w:lang w:eastAsia="en-US"/>
        </w:rPr>
        <w:t xml:space="preserve">Die Einschätzungen zur </w:t>
      </w:r>
      <w:r w:rsidRPr="00CA1E48">
        <w:rPr>
          <w:rFonts w:eastAsia="Calibri"/>
          <w:sz w:val="24"/>
          <w:szCs w:val="24"/>
          <w:lang w:eastAsia="en-US"/>
        </w:rPr>
        <w:t>Umsatzlage</w:t>
      </w:r>
      <w:r w:rsidRPr="00CA1E48">
        <w:rPr>
          <w:rFonts w:eastAsia="Calibri"/>
          <w:b w:val="0"/>
          <w:sz w:val="24"/>
          <w:szCs w:val="24"/>
          <w:lang w:eastAsia="en-US"/>
        </w:rPr>
        <w:t xml:space="preserve"> im Steinmetzhandwerk fallen im ersten Halbjahr 2021 etwas schwächer aus als im Halbjahr davor. Die Größe „mindestens konstante Umsätze“ liegt bei 85 Prozent (33,3 Prozent mit Umsatzplus | 51,7 Prozent mit unveränderten bzw. konstanten Umsätzen). Umgekehrt sind 15 Prozent der Betriebe von Umsatzrückgängen betroffen. Das signalisiert eine gute konstante Umsatzentwicklung. Mit Vorsicht lässt sich seit dem ersten Halbjahr 2019 beobachten, dass sich die Umsatzanteile in den einzelnen Geschäftsbereichen auf bestimmte Werte einpendeln. So ist immer wieder eine Verschiebung des Umsatzes aus dem „Grabmalbereich" in den „Baubereich" erkennbar bzw. das Umsatzvolumen in diesem Bereich erhöht sich. Etwas mehr als die Hälfte des Umsatzes wird im Geschäftsbereich „Friedhof &amp; Grabmal" erwirtschaftet, gefolgt vom Geschäftsbereich „Bau" mit ca. 30 Prozent und dem Geschäftsbereich „Restaurierung &amp; Denkmalpflege" mit ca. 10 Prozent</w:t>
      </w:r>
      <w:r w:rsidR="003F0A8D">
        <w:rPr>
          <w:rFonts w:eastAsia="Calibri"/>
          <w:b w:val="0"/>
          <w:sz w:val="24"/>
          <w:szCs w:val="24"/>
          <w:lang w:eastAsia="en-US"/>
        </w:rPr>
        <w:t xml:space="preserve"> (siehe Abbildung 2).</w:t>
      </w:r>
    </w:p>
    <w:p w14:paraId="1EE18923" w14:textId="77777777" w:rsidR="00CA1E48" w:rsidRPr="00CA1E48" w:rsidRDefault="00CA1E48" w:rsidP="007341CB">
      <w:pPr>
        <w:spacing w:line="360" w:lineRule="auto"/>
        <w:jc w:val="both"/>
        <w:rPr>
          <w:rFonts w:eastAsia="Calibri"/>
          <w:b w:val="0"/>
          <w:sz w:val="24"/>
          <w:szCs w:val="24"/>
          <w:lang w:eastAsia="en-US"/>
        </w:rPr>
      </w:pPr>
    </w:p>
    <w:p w14:paraId="4D56CBB8" w14:textId="77777777" w:rsidR="00CA1E48" w:rsidRDefault="00CA1E48" w:rsidP="007341CB">
      <w:pPr>
        <w:spacing w:line="360" w:lineRule="auto"/>
        <w:jc w:val="both"/>
        <w:rPr>
          <w:rFonts w:eastAsia="Calibri"/>
          <w:b w:val="0"/>
          <w:sz w:val="24"/>
          <w:szCs w:val="24"/>
          <w:lang w:eastAsia="en-US"/>
        </w:rPr>
      </w:pPr>
      <w:r w:rsidRPr="00CA1E48">
        <w:rPr>
          <w:rFonts w:eastAsia="Calibri"/>
          <w:b w:val="0"/>
          <w:sz w:val="24"/>
          <w:szCs w:val="24"/>
          <w:lang w:eastAsia="en-US"/>
        </w:rPr>
        <w:t xml:space="preserve">Der </w:t>
      </w:r>
      <w:r w:rsidRPr="00CA1E48">
        <w:rPr>
          <w:rFonts w:eastAsia="Calibri"/>
          <w:sz w:val="24"/>
          <w:szCs w:val="24"/>
          <w:lang w:eastAsia="en-US"/>
        </w:rPr>
        <w:t>Geschäftsklimaindex</w:t>
      </w:r>
      <w:r w:rsidRPr="00CA1E48">
        <w:rPr>
          <w:rFonts w:eastAsia="Calibri"/>
          <w:b w:val="0"/>
          <w:sz w:val="24"/>
          <w:szCs w:val="24"/>
          <w:lang w:eastAsia="en-US"/>
        </w:rPr>
        <w:t xml:space="preserve"> für das Steinmetz- und Steinbildhauerhandwerk, der Geschäftslage und Geschäftserwartungen bündelt, liegt mit 83,6 Punkten auch auf einem sehr hohen Niveau über dem Vorjahreswert (I/2020: 74,1 Punkte). Das Steinmetzhandwerk profitiert wahrscheinlich noch immer von der anhaltend guten Nachfrage nach Bauleistungen trotz Engpässen bei der Verfügbarkeit einzelner Materialien. Zugleich ist man zuversichtlich, dass dieser Aufschwung im zweiten Halbjahr 2021 anhält. Die privaten Konsumausgaben können hier als treibende Kraft ausgemacht werden. Durch das verbesserte Geschäftsumfeld und die wahrscheinlich guten Geschäftsperspektiven haben auch eine Verbesserung bei vergangenen und zukünftigen </w:t>
      </w:r>
      <w:r w:rsidRPr="00CA1E48">
        <w:rPr>
          <w:rFonts w:eastAsia="Calibri"/>
          <w:b w:val="0"/>
          <w:sz w:val="24"/>
          <w:szCs w:val="24"/>
          <w:lang w:eastAsia="en-US"/>
        </w:rPr>
        <w:lastRenderedPageBreak/>
        <w:t xml:space="preserve">Investitionen im Steinmetzhandwerk bewirkt. Aber auch aufgrund der bestehenden Auftragsreichweiten haben die Steinmetzbetriebe in neue Geräte, Anlagen und Maschinen investiert, um ihre Kapazitäten zu erweitern. Für das erste Halbjahr 2021 melden 53,1 Prozent der </w:t>
      </w:r>
      <w:proofErr w:type="spellStart"/>
      <w:proofErr w:type="gramStart"/>
      <w:r w:rsidRPr="00CA1E48">
        <w:rPr>
          <w:rFonts w:eastAsia="Calibri"/>
          <w:b w:val="0"/>
          <w:sz w:val="24"/>
          <w:szCs w:val="24"/>
          <w:lang w:eastAsia="en-US"/>
        </w:rPr>
        <w:t>Betriebsinhaber:innen</w:t>
      </w:r>
      <w:proofErr w:type="spellEnd"/>
      <w:proofErr w:type="gramEnd"/>
      <w:r w:rsidRPr="00CA1E48">
        <w:rPr>
          <w:rFonts w:eastAsia="Calibri"/>
          <w:b w:val="0"/>
          <w:sz w:val="24"/>
          <w:szCs w:val="24"/>
          <w:lang w:eastAsia="en-US"/>
        </w:rPr>
        <w:t xml:space="preserve"> erhöhte </w:t>
      </w:r>
      <w:r w:rsidRPr="00CA1E48">
        <w:rPr>
          <w:rFonts w:eastAsia="Calibri"/>
          <w:sz w:val="24"/>
          <w:szCs w:val="24"/>
          <w:lang w:eastAsia="en-US"/>
        </w:rPr>
        <w:t>Investitionsausgaben</w:t>
      </w:r>
      <w:r w:rsidRPr="00CA1E48">
        <w:rPr>
          <w:rFonts w:eastAsia="Calibri"/>
          <w:b w:val="0"/>
          <w:sz w:val="24"/>
          <w:szCs w:val="24"/>
          <w:lang w:eastAsia="en-US"/>
        </w:rPr>
        <w:t xml:space="preserve">. 47,5 Prozent der </w:t>
      </w:r>
      <w:proofErr w:type="spellStart"/>
      <w:proofErr w:type="gramStart"/>
      <w:r w:rsidRPr="00CA1E48">
        <w:rPr>
          <w:rFonts w:eastAsia="Calibri"/>
          <w:b w:val="0"/>
          <w:sz w:val="24"/>
          <w:szCs w:val="24"/>
          <w:lang w:eastAsia="en-US"/>
        </w:rPr>
        <w:t>Betriebsinhaber:innen</w:t>
      </w:r>
      <w:proofErr w:type="spellEnd"/>
      <w:proofErr w:type="gramEnd"/>
      <w:r w:rsidRPr="00CA1E48">
        <w:rPr>
          <w:rFonts w:eastAsia="Calibri"/>
          <w:b w:val="0"/>
          <w:sz w:val="24"/>
          <w:szCs w:val="24"/>
          <w:lang w:eastAsia="en-US"/>
        </w:rPr>
        <w:t xml:space="preserve"> planen in der zweiten Jahreshälfte vermehrt zu investieren, falls es die Konjunktur zulassen sollte. </w:t>
      </w:r>
    </w:p>
    <w:p w14:paraId="15D2410A" w14:textId="77777777" w:rsidR="00CA1E48" w:rsidRPr="00404628" w:rsidRDefault="0018401E" w:rsidP="007341CB">
      <w:pPr>
        <w:spacing w:line="360" w:lineRule="auto"/>
        <w:jc w:val="both"/>
        <w:rPr>
          <w:rFonts w:eastAsia="Calibri"/>
          <w:b w:val="0"/>
          <w:sz w:val="24"/>
          <w:szCs w:val="24"/>
          <w:lang w:eastAsia="en-US"/>
        </w:rPr>
      </w:pPr>
      <w:r>
        <w:rPr>
          <w:rFonts w:eastAsia="Calibri"/>
          <w:b w:val="0"/>
          <w:noProof/>
          <w:sz w:val="24"/>
          <w:szCs w:val="24"/>
          <w:lang w:eastAsia="en-US"/>
        </w:rPr>
        <w:drawing>
          <wp:inline distT="0" distB="0" distL="0" distR="0" wp14:anchorId="7E5FBC3B" wp14:editId="39C51C25">
            <wp:extent cx="5761355" cy="377380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773805"/>
                    </a:xfrm>
                    <a:prstGeom prst="rect">
                      <a:avLst/>
                    </a:prstGeom>
                    <a:noFill/>
                  </pic:spPr>
                </pic:pic>
              </a:graphicData>
            </a:graphic>
          </wp:inline>
        </w:drawing>
      </w:r>
      <w:r w:rsidR="00CA1E48" w:rsidRPr="00CA1E48">
        <w:rPr>
          <w:rFonts w:eastAsia="Calibri"/>
          <w:b w:val="0"/>
          <w:sz w:val="20"/>
          <w:szCs w:val="24"/>
          <w:lang w:eastAsia="en-US"/>
        </w:rPr>
        <w:t>Abbildung 1: Geschäftsklimaindex in der zeitlichen Entwicklung</w:t>
      </w:r>
    </w:p>
    <w:p w14:paraId="3E15E563" w14:textId="77777777" w:rsidR="00CA1E48" w:rsidRPr="00CA1E48" w:rsidRDefault="00CA1E48" w:rsidP="007341CB">
      <w:pPr>
        <w:spacing w:line="360" w:lineRule="auto"/>
        <w:jc w:val="both"/>
        <w:rPr>
          <w:rFonts w:eastAsia="Calibri"/>
          <w:b w:val="0"/>
          <w:sz w:val="24"/>
          <w:szCs w:val="24"/>
          <w:lang w:eastAsia="en-US"/>
        </w:rPr>
      </w:pPr>
    </w:p>
    <w:p w14:paraId="690DEF1D" w14:textId="77777777" w:rsidR="00CA1E48" w:rsidRPr="00CA1E48" w:rsidRDefault="00CA1E48" w:rsidP="007341CB">
      <w:pPr>
        <w:spacing w:line="360" w:lineRule="auto"/>
        <w:jc w:val="both"/>
        <w:rPr>
          <w:rFonts w:eastAsia="Calibri"/>
          <w:b w:val="0"/>
          <w:sz w:val="24"/>
          <w:szCs w:val="24"/>
          <w:lang w:eastAsia="en-US"/>
        </w:rPr>
      </w:pPr>
      <w:r w:rsidRPr="00CA1E48">
        <w:rPr>
          <w:rFonts w:eastAsia="Calibri"/>
          <w:b w:val="0"/>
          <w:sz w:val="24"/>
          <w:szCs w:val="24"/>
          <w:lang w:eastAsia="en-US"/>
        </w:rPr>
        <w:t xml:space="preserve">Die Steinmetzbetriebe müssen zunehmend mit steigenden Löhnen kalkulieren, hinzu kommen höhere Preise für Materialien, Maschinen sowie Energie. In einzelnen Regionen gelingt es den Betrieben besser als in früheren Jahren, gestiegene Kosten an ihre Kunden weiterzugeben. 60,8 Prozent der Steinmetzbetriebe haben seit dem Jahresanfang ihre </w:t>
      </w:r>
      <w:r w:rsidRPr="00CA1E48">
        <w:rPr>
          <w:rFonts w:eastAsia="Calibri"/>
          <w:sz w:val="24"/>
          <w:szCs w:val="24"/>
          <w:lang w:eastAsia="en-US"/>
        </w:rPr>
        <w:t>Angebots- und Verkaufspreise</w:t>
      </w:r>
      <w:r w:rsidRPr="00CA1E48">
        <w:rPr>
          <w:rFonts w:eastAsia="Calibri"/>
          <w:b w:val="0"/>
          <w:sz w:val="24"/>
          <w:szCs w:val="24"/>
          <w:lang w:eastAsia="en-US"/>
        </w:rPr>
        <w:t xml:space="preserve"> erhöht. Kein Betrieb berichtet von Preissenkungen im Bereich der Einkaufspreise oder der Angebots- und Verkaufspreise. Begründet wird dieser Preisanstieg mit der Konjunkturerholung der letzten Monate, die bei vielen Rohstoffen und Energieträgern eine Verteuerung zur Folge hatte, da deren Förderung nicht mit der Marktnachfrage Schritt hielt. So berichten 93 Prozent </w:t>
      </w:r>
      <w:r w:rsidRPr="00CA1E48">
        <w:rPr>
          <w:rFonts w:eastAsia="Calibri"/>
          <w:b w:val="0"/>
          <w:sz w:val="24"/>
          <w:szCs w:val="24"/>
          <w:lang w:eastAsia="en-US"/>
        </w:rPr>
        <w:lastRenderedPageBreak/>
        <w:t xml:space="preserve">der </w:t>
      </w:r>
      <w:proofErr w:type="spellStart"/>
      <w:proofErr w:type="gramStart"/>
      <w:r w:rsidRPr="00CA1E48">
        <w:rPr>
          <w:rFonts w:eastAsia="Calibri"/>
          <w:b w:val="0"/>
          <w:sz w:val="24"/>
          <w:szCs w:val="24"/>
          <w:lang w:eastAsia="en-US"/>
        </w:rPr>
        <w:t>Betriebsinhaber:innen</w:t>
      </w:r>
      <w:proofErr w:type="spellEnd"/>
      <w:proofErr w:type="gramEnd"/>
      <w:r w:rsidRPr="00CA1E48">
        <w:rPr>
          <w:rFonts w:eastAsia="Calibri"/>
          <w:b w:val="0"/>
          <w:sz w:val="24"/>
          <w:szCs w:val="24"/>
          <w:lang w:eastAsia="en-US"/>
        </w:rPr>
        <w:t xml:space="preserve"> von leicht bis stark gestiegenen Einkaufspreisen je nach Produkt. Knapp zwei Drittel der </w:t>
      </w:r>
      <w:proofErr w:type="spellStart"/>
      <w:proofErr w:type="gramStart"/>
      <w:r w:rsidRPr="00CA1E48">
        <w:rPr>
          <w:rFonts w:eastAsia="Calibri"/>
          <w:b w:val="0"/>
          <w:sz w:val="24"/>
          <w:szCs w:val="24"/>
          <w:lang w:eastAsia="en-US"/>
        </w:rPr>
        <w:t>Umfrageteilnehmer:innen</w:t>
      </w:r>
      <w:proofErr w:type="spellEnd"/>
      <w:proofErr w:type="gramEnd"/>
      <w:r w:rsidRPr="00CA1E48">
        <w:rPr>
          <w:rFonts w:eastAsia="Calibri"/>
          <w:b w:val="0"/>
          <w:sz w:val="24"/>
          <w:szCs w:val="24"/>
          <w:lang w:eastAsia="en-US"/>
        </w:rPr>
        <w:t xml:space="preserve"> erwarten in den nächsten Monaten eine Fortsetzung der Preisanstiege durch höhere Beschaffungspreise.</w:t>
      </w:r>
    </w:p>
    <w:p w14:paraId="569B17CE" w14:textId="77777777" w:rsidR="00404628" w:rsidRDefault="0018401E" w:rsidP="007341CB">
      <w:pPr>
        <w:spacing w:line="360" w:lineRule="auto"/>
        <w:jc w:val="both"/>
        <w:rPr>
          <w:rFonts w:eastAsia="Calibri"/>
          <w:b w:val="0"/>
          <w:sz w:val="24"/>
          <w:szCs w:val="24"/>
          <w:lang w:eastAsia="en-US"/>
        </w:rPr>
      </w:pPr>
      <w:r>
        <w:rPr>
          <w:rFonts w:eastAsia="Calibri"/>
          <w:b w:val="0"/>
          <w:noProof/>
          <w:sz w:val="24"/>
          <w:szCs w:val="24"/>
          <w:lang w:eastAsia="en-US"/>
        </w:rPr>
        <w:drawing>
          <wp:inline distT="0" distB="0" distL="0" distR="0" wp14:anchorId="59D582E5" wp14:editId="6F0B61A8">
            <wp:extent cx="5761355" cy="432244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4322445"/>
                    </a:xfrm>
                    <a:prstGeom prst="rect">
                      <a:avLst/>
                    </a:prstGeom>
                    <a:noFill/>
                  </pic:spPr>
                </pic:pic>
              </a:graphicData>
            </a:graphic>
          </wp:inline>
        </w:drawing>
      </w:r>
      <w:r w:rsidR="00404628" w:rsidRPr="00404628">
        <w:rPr>
          <w:rFonts w:eastAsia="Calibri"/>
          <w:b w:val="0"/>
          <w:sz w:val="20"/>
          <w:szCs w:val="24"/>
          <w:lang w:eastAsia="en-US"/>
        </w:rPr>
        <w:t>Abbildung 2: Umsatzanteile einzelner Geschäftsbereiche in der zeitlichen Entwicklung</w:t>
      </w:r>
    </w:p>
    <w:p w14:paraId="16ED25BC" w14:textId="77777777" w:rsidR="00404628" w:rsidRDefault="00404628" w:rsidP="007341CB">
      <w:pPr>
        <w:spacing w:line="360" w:lineRule="auto"/>
        <w:jc w:val="both"/>
        <w:rPr>
          <w:rFonts w:eastAsia="Calibri"/>
          <w:b w:val="0"/>
          <w:sz w:val="24"/>
          <w:szCs w:val="24"/>
          <w:lang w:eastAsia="en-US"/>
        </w:rPr>
      </w:pPr>
    </w:p>
    <w:p w14:paraId="22CD665B" w14:textId="77777777" w:rsidR="00404628" w:rsidRDefault="00404628" w:rsidP="00276F8E">
      <w:pPr>
        <w:spacing w:line="360" w:lineRule="auto"/>
        <w:rPr>
          <w:rFonts w:eastAsia="Calibri"/>
          <w:b w:val="0"/>
          <w:sz w:val="24"/>
          <w:szCs w:val="24"/>
          <w:lang w:eastAsia="en-US"/>
        </w:rPr>
      </w:pPr>
    </w:p>
    <w:p w14:paraId="3CDC685B" w14:textId="77777777" w:rsidR="007E64F9" w:rsidRPr="00FE1690" w:rsidRDefault="00404628" w:rsidP="00276F8E">
      <w:pPr>
        <w:spacing w:line="360" w:lineRule="auto"/>
        <w:rPr>
          <w:rFonts w:eastAsia="Calibri"/>
          <w:b w:val="0"/>
          <w:sz w:val="24"/>
          <w:szCs w:val="24"/>
          <w:lang w:eastAsia="en-US"/>
        </w:rPr>
      </w:pPr>
      <w:r>
        <w:rPr>
          <w:rFonts w:eastAsia="Calibri"/>
          <w:b w:val="0"/>
          <w:sz w:val="24"/>
          <w:szCs w:val="24"/>
          <w:lang w:eastAsia="en-US"/>
        </w:rPr>
        <w:t>Bildnachweis</w:t>
      </w:r>
      <w:r w:rsidR="00325B5A">
        <w:rPr>
          <w:rFonts w:eastAsia="Calibri"/>
          <w:b w:val="0"/>
          <w:sz w:val="24"/>
          <w:szCs w:val="24"/>
          <w:lang w:eastAsia="en-US"/>
        </w:rPr>
        <w:t>: Bundesverband Deutscher Steinmetze/</w:t>
      </w:r>
      <w:r w:rsidR="00CA1E48">
        <w:rPr>
          <w:rFonts w:eastAsia="Calibri"/>
          <w:b w:val="0"/>
          <w:sz w:val="24"/>
          <w:szCs w:val="24"/>
          <w:lang w:eastAsia="en-US"/>
        </w:rPr>
        <w:t xml:space="preserve"> M. Bashary</w:t>
      </w:r>
    </w:p>
    <w:p w14:paraId="6E9C46D8" w14:textId="77777777" w:rsidR="0050427C" w:rsidRPr="00404628" w:rsidRDefault="006736A9" w:rsidP="00404628">
      <w:pPr>
        <w:spacing w:line="360" w:lineRule="auto"/>
        <w:rPr>
          <w:rFonts w:eastAsia="Calibri"/>
          <w:b w:val="0"/>
          <w:sz w:val="24"/>
          <w:szCs w:val="24"/>
          <w:lang w:eastAsia="en-US"/>
        </w:rPr>
      </w:pPr>
      <w:r w:rsidRPr="006736A9">
        <w:rPr>
          <w:rFonts w:eastAsia="Calibri"/>
          <w:b w:val="0"/>
          <w:i/>
          <w:sz w:val="24"/>
          <w:szCs w:val="24"/>
          <w:lang w:eastAsia="en-US"/>
        </w:rPr>
        <w:t xml:space="preserve">Auf Anfrage senden wir die </w:t>
      </w:r>
      <w:r w:rsidR="00CA1E48">
        <w:rPr>
          <w:rFonts w:eastAsia="Calibri"/>
          <w:b w:val="0"/>
          <w:i/>
          <w:sz w:val="24"/>
          <w:szCs w:val="24"/>
          <w:lang w:eastAsia="en-US"/>
        </w:rPr>
        <w:t xml:space="preserve">Grafiken gerne </w:t>
      </w:r>
      <w:r w:rsidRPr="006736A9">
        <w:rPr>
          <w:rFonts w:eastAsia="Calibri"/>
          <w:b w:val="0"/>
          <w:i/>
          <w:sz w:val="24"/>
          <w:szCs w:val="24"/>
          <w:lang w:eastAsia="en-US"/>
        </w:rPr>
        <w:t>hochauflösen</w:t>
      </w:r>
      <w:r w:rsidR="00CA1E48">
        <w:rPr>
          <w:rFonts w:eastAsia="Calibri"/>
          <w:b w:val="0"/>
          <w:i/>
          <w:sz w:val="24"/>
          <w:szCs w:val="24"/>
          <w:lang w:eastAsia="en-US"/>
        </w:rPr>
        <w:t>d</w:t>
      </w:r>
      <w:r w:rsidRPr="006736A9">
        <w:rPr>
          <w:rFonts w:eastAsia="Calibri"/>
          <w:b w:val="0"/>
          <w:i/>
          <w:sz w:val="24"/>
          <w:szCs w:val="24"/>
          <w:lang w:eastAsia="en-US"/>
        </w:rPr>
        <w:t xml:space="preserve"> zu.</w:t>
      </w:r>
    </w:p>
    <w:p w14:paraId="7C56B9DC" w14:textId="77777777" w:rsidR="00404628" w:rsidRDefault="00404628" w:rsidP="0050427C">
      <w:pPr>
        <w:rPr>
          <w:rFonts w:eastAsia="Calibri"/>
          <w:b w:val="0"/>
          <w:sz w:val="24"/>
          <w:szCs w:val="24"/>
          <w:u w:val="single"/>
          <w:lang w:eastAsia="en-US"/>
        </w:rPr>
      </w:pPr>
    </w:p>
    <w:p w14:paraId="2625349E" w14:textId="77777777" w:rsidR="0050427C" w:rsidRPr="00404628" w:rsidRDefault="0050427C" w:rsidP="0050427C">
      <w:pPr>
        <w:rPr>
          <w:rFonts w:eastAsia="Calibri"/>
          <w:sz w:val="24"/>
          <w:szCs w:val="24"/>
          <w:u w:val="single"/>
          <w:lang w:eastAsia="en-US"/>
        </w:rPr>
      </w:pPr>
      <w:r w:rsidRPr="00404628">
        <w:rPr>
          <w:rFonts w:eastAsia="Calibri"/>
          <w:sz w:val="24"/>
          <w:szCs w:val="24"/>
          <w:u w:val="single"/>
          <w:lang w:eastAsia="en-US"/>
        </w:rPr>
        <w:t>Absender und Pressekontakt:</w:t>
      </w:r>
    </w:p>
    <w:p w14:paraId="7C606970" w14:textId="77777777" w:rsidR="0050427C" w:rsidRPr="0050427C" w:rsidRDefault="0050427C" w:rsidP="0050427C">
      <w:pPr>
        <w:rPr>
          <w:rFonts w:eastAsia="Calibri"/>
          <w:b w:val="0"/>
          <w:sz w:val="24"/>
          <w:szCs w:val="24"/>
          <w:lang w:eastAsia="en-US"/>
        </w:rPr>
      </w:pPr>
      <w:r w:rsidRPr="0050427C">
        <w:rPr>
          <w:rFonts w:eastAsia="Calibri"/>
          <w:b w:val="0"/>
          <w:sz w:val="24"/>
          <w:szCs w:val="24"/>
          <w:lang w:eastAsia="en-US"/>
        </w:rPr>
        <w:t>Bundesverband Deutscher Steinmetze</w:t>
      </w:r>
    </w:p>
    <w:p w14:paraId="19B9D7F0" w14:textId="77777777" w:rsidR="0050427C" w:rsidRPr="0050427C" w:rsidRDefault="0050427C" w:rsidP="0050427C">
      <w:pPr>
        <w:rPr>
          <w:rFonts w:eastAsia="Calibri"/>
          <w:b w:val="0"/>
          <w:sz w:val="24"/>
          <w:szCs w:val="24"/>
          <w:lang w:eastAsia="en-US"/>
        </w:rPr>
      </w:pPr>
      <w:r w:rsidRPr="0050427C">
        <w:rPr>
          <w:rFonts w:eastAsia="Calibri"/>
          <w:b w:val="0"/>
          <w:sz w:val="24"/>
          <w:szCs w:val="24"/>
          <w:lang w:eastAsia="en-US"/>
        </w:rPr>
        <w:t>Bundesinnungsverband des Deutschen Steinmetz- und Steinbildhauerhandwerks</w:t>
      </w:r>
    </w:p>
    <w:p w14:paraId="099DDB8C" w14:textId="77777777" w:rsidR="0050427C" w:rsidRPr="0050427C" w:rsidRDefault="0050427C" w:rsidP="0050427C">
      <w:pPr>
        <w:rPr>
          <w:rFonts w:eastAsia="Calibri"/>
          <w:b w:val="0"/>
          <w:sz w:val="24"/>
          <w:szCs w:val="24"/>
          <w:lang w:eastAsia="en-US"/>
        </w:rPr>
      </w:pPr>
      <w:proofErr w:type="spellStart"/>
      <w:r w:rsidRPr="0050427C">
        <w:rPr>
          <w:rFonts w:eastAsia="Calibri"/>
          <w:b w:val="0"/>
          <w:sz w:val="24"/>
          <w:szCs w:val="24"/>
          <w:lang w:eastAsia="en-US"/>
        </w:rPr>
        <w:t>Weißkirchener</w:t>
      </w:r>
      <w:proofErr w:type="spellEnd"/>
      <w:r w:rsidRPr="0050427C">
        <w:rPr>
          <w:rFonts w:eastAsia="Calibri"/>
          <w:b w:val="0"/>
          <w:sz w:val="24"/>
          <w:szCs w:val="24"/>
          <w:lang w:eastAsia="en-US"/>
        </w:rPr>
        <w:t xml:space="preserve"> Weg 16</w:t>
      </w:r>
    </w:p>
    <w:p w14:paraId="07FC36AC" w14:textId="77777777" w:rsidR="0050427C" w:rsidRPr="0050427C" w:rsidRDefault="0050427C" w:rsidP="0050427C">
      <w:pPr>
        <w:rPr>
          <w:rFonts w:eastAsia="Calibri"/>
          <w:b w:val="0"/>
          <w:sz w:val="24"/>
          <w:szCs w:val="24"/>
          <w:lang w:eastAsia="en-US"/>
        </w:rPr>
      </w:pPr>
      <w:r w:rsidRPr="0050427C">
        <w:rPr>
          <w:rFonts w:eastAsia="Calibri"/>
          <w:b w:val="0"/>
          <w:sz w:val="24"/>
          <w:szCs w:val="24"/>
          <w:lang w:eastAsia="en-US"/>
        </w:rPr>
        <w:t>D-60439 Frankfurt am Main</w:t>
      </w:r>
    </w:p>
    <w:p w14:paraId="71CA096C" w14:textId="77777777" w:rsidR="00A80A88" w:rsidRDefault="0050427C" w:rsidP="00A80A88">
      <w:pPr>
        <w:rPr>
          <w:rFonts w:eastAsia="Calibri"/>
          <w:b w:val="0"/>
          <w:sz w:val="24"/>
          <w:szCs w:val="24"/>
          <w:lang w:eastAsia="en-US"/>
        </w:rPr>
      </w:pPr>
      <w:r w:rsidRPr="0050427C">
        <w:rPr>
          <w:rFonts w:eastAsia="Calibri"/>
          <w:b w:val="0"/>
          <w:sz w:val="24"/>
          <w:szCs w:val="24"/>
          <w:lang w:eastAsia="en-US"/>
        </w:rPr>
        <w:t>Telefon: ++49 (0) 69 - 576 098</w:t>
      </w:r>
      <w:r w:rsidR="00325B5A">
        <w:rPr>
          <w:rFonts w:eastAsia="Calibri"/>
          <w:b w:val="0"/>
          <w:sz w:val="24"/>
          <w:szCs w:val="24"/>
          <w:lang w:eastAsia="en-US"/>
        </w:rPr>
        <w:t xml:space="preserve"> // </w:t>
      </w:r>
      <w:r w:rsidRPr="0050427C">
        <w:rPr>
          <w:rFonts w:eastAsia="Calibri"/>
          <w:b w:val="0"/>
          <w:sz w:val="24"/>
          <w:szCs w:val="24"/>
          <w:lang w:eastAsia="en-US"/>
        </w:rPr>
        <w:t xml:space="preserve">www.biv-steinmetz.de </w:t>
      </w:r>
      <w:r w:rsidR="00325B5A">
        <w:rPr>
          <w:rFonts w:eastAsia="Calibri"/>
          <w:b w:val="0"/>
          <w:sz w:val="24"/>
          <w:szCs w:val="24"/>
          <w:lang w:eastAsia="en-US"/>
        </w:rPr>
        <w:t xml:space="preserve">// </w:t>
      </w:r>
      <w:hyperlink r:id="rId10" w:history="1">
        <w:r w:rsidR="00325B5A" w:rsidRPr="00EF25D5">
          <w:rPr>
            <w:rStyle w:val="Hyperlink"/>
            <w:rFonts w:eastAsia="Calibri"/>
            <w:b w:val="0"/>
            <w:sz w:val="24"/>
            <w:szCs w:val="24"/>
            <w:lang w:eastAsia="en-US"/>
          </w:rPr>
          <w:t>info@biv-steinmetz.de</w:t>
        </w:r>
      </w:hyperlink>
    </w:p>
    <w:p w14:paraId="6ED86320" w14:textId="77777777" w:rsidR="00E2451A" w:rsidRPr="00E2451A" w:rsidRDefault="00E2451A" w:rsidP="00E2451A">
      <w:pPr>
        <w:rPr>
          <w:rFonts w:eastAsia="Calibri"/>
          <w:b w:val="0"/>
          <w:sz w:val="24"/>
          <w:szCs w:val="24"/>
          <w:lang w:eastAsia="en-US"/>
        </w:rPr>
      </w:pPr>
    </w:p>
    <w:sectPr w:rsidR="00E2451A" w:rsidRPr="00E2451A" w:rsidSect="00FE501A">
      <w:headerReference w:type="default" r:id="rId11"/>
      <w:footerReference w:type="default" r:id="rId12"/>
      <w:pgSz w:w="11906" w:h="16838" w:code="9"/>
      <w:pgMar w:top="2696"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3652" w14:textId="77777777" w:rsidR="00740CBF" w:rsidRDefault="00740CBF">
      <w:r>
        <w:separator/>
      </w:r>
    </w:p>
  </w:endnote>
  <w:endnote w:type="continuationSeparator" w:id="0">
    <w:p w14:paraId="1410FC7C" w14:textId="77777777" w:rsidR="00740CBF" w:rsidRDefault="0074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87B1" w14:textId="77777777" w:rsidR="009D31E9" w:rsidRPr="00403433" w:rsidRDefault="00403433" w:rsidP="00403433">
    <w:pPr>
      <w:pStyle w:val="Fuzeile"/>
      <w:jc w:val="right"/>
      <w:rPr>
        <w:b w:val="0"/>
      </w:rPr>
    </w:pPr>
    <w:r w:rsidRPr="00403433">
      <w:rPr>
        <w:b w:val="0"/>
      </w:rPr>
      <w:fldChar w:fldCharType="begin"/>
    </w:r>
    <w:r w:rsidR="00CD1774">
      <w:rPr>
        <w:b w:val="0"/>
      </w:rPr>
      <w:instrText>PAGE</w:instrText>
    </w:r>
    <w:r w:rsidRPr="00403433">
      <w:rPr>
        <w:b w:val="0"/>
      </w:rPr>
      <w:instrText xml:space="preserve">   \* MERGEFORMAT</w:instrText>
    </w:r>
    <w:r w:rsidRPr="00403433">
      <w:rPr>
        <w:b w:val="0"/>
      </w:rPr>
      <w:fldChar w:fldCharType="separate"/>
    </w:r>
    <w:r w:rsidR="00E60369">
      <w:rPr>
        <w:b w:val="0"/>
        <w:noProof/>
      </w:rPr>
      <w:t>3</w:t>
    </w:r>
    <w:r w:rsidRPr="00403433">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3B80" w14:textId="77777777" w:rsidR="00740CBF" w:rsidRDefault="00740CBF">
      <w:r>
        <w:separator/>
      </w:r>
    </w:p>
  </w:footnote>
  <w:footnote w:type="continuationSeparator" w:id="0">
    <w:p w14:paraId="05DCEAE7" w14:textId="77777777" w:rsidR="00740CBF" w:rsidRDefault="0074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86DC" w14:textId="77777777" w:rsidR="001D7A39" w:rsidRDefault="0018401E">
    <w:pPr>
      <w:pStyle w:val="Kopfzeile"/>
    </w:pPr>
    <w:r>
      <w:rPr>
        <w:noProof/>
      </w:rPr>
      <w:drawing>
        <wp:anchor distT="0" distB="0" distL="114300" distR="114300" simplePos="0" relativeHeight="251657728" behindDoc="0" locked="0" layoutInCell="1" allowOverlap="1" wp14:anchorId="7F0E3742" wp14:editId="5F6AED6A">
          <wp:simplePos x="0" y="0"/>
          <wp:positionH relativeFrom="column">
            <wp:posOffset>-609600</wp:posOffset>
          </wp:positionH>
          <wp:positionV relativeFrom="paragraph">
            <wp:posOffset>-113030</wp:posOffset>
          </wp:positionV>
          <wp:extent cx="6858000" cy="1271905"/>
          <wp:effectExtent l="0" t="0" r="0" b="0"/>
          <wp:wrapNone/>
          <wp:docPr id="1" name="Bild 1" descr="Logo2011Mit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1Mit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466"/>
    <w:multiLevelType w:val="hybridMultilevel"/>
    <w:tmpl w:val="3014B9E6"/>
    <w:lvl w:ilvl="0" w:tplc="87DA543E">
      <w:numFmt w:val="bullet"/>
      <w:lvlText w:val="-"/>
      <w:lvlJc w:val="left"/>
      <w:pPr>
        <w:ind w:left="1426" w:hanging="360"/>
      </w:pPr>
      <w:rPr>
        <w:rFonts w:ascii="Arial" w:eastAsia="Times New Roman" w:hAnsi="Arial" w:cs="Aria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 w15:restartNumberingAfterBreak="0">
    <w:nsid w:val="13D74B5D"/>
    <w:multiLevelType w:val="hybridMultilevel"/>
    <w:tmpl w:val="F34082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E46B0E"/>
    <w:multiLevelType w:val="hybridMultilevel"/>
    <w:tmpl w:val="A77A8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37546"/>
    <w:multiLevelType w:val="hybridMultilevel"/>
    <w:tmpl w:val="1E9E0C42"/>
    <w:lvl w:ilvl="0" w:tplc="E270800E">
      <w:start w:val="1"/>
      <w:numFmt w:val="decimal"/>
      <w:lvlText w:val="%1."/>
      <w:lvlJc w:val="left"/>
      <w:pPr>
        <w:ind w:left="1426" w:hanging="360"/>
      </w:pPr>
      <w:rPr>
        <w:rFonts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4" w15:restartNumberingAfterBreak="0">
    <w:nsid w:val="331C6520"/>
    <w:multiLevelType w:val="hybridMultilevel"/>
    <w:tmpl w:val="020867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B6F634D"/>
    <w:multiLevelType w:val="hybridMultilevel"/>
    <w:tmpl w:val="AB705278"/>
    <w:lvl w:ilvl="0" w:tplc="8B4E9DFE">
      <w:start w:val="1"/>
      <w:numFmt w:val="lowerLetter"/>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6" w15:restartNumberingAfterBreak="0">
    <w:nsid w:val="3D8D7C83"/>
    <w:multiLevelType w:val="hybridMultilevel"/>
    <w:tmpl w:val="BAEC92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5423A"/>
    <w:multiLevelType w:val="hybridMultilevel"/>
    <w:tmpl w:val="EB10509E"/>
    <w:lvl w:ilvl="0" w:tplc="717864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36183B"/>
    <w:multiLevelType w:val="hybridMultilevel"/>
    <w:tmpl w:val="225CA032"/>
    <w:lvl w:ilvl="0" w:tplc="0E10E9A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0527EEB"/>
    <w:multiLevelType w:val="hybridMultilevel"/>
    <w:tmpl w:val="E99A6538"/>
    <w:lvl w:ilvl="0" w:tplc="786E9D38">
      <w:start w:val="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A956EC"/>
    <w:multiLevelType w:val="hybridMultilevel"/>
    <w:tmpl w:val="C94C0D94"/>
    <w:lvl w:ilvl="0" w:tplc="1EF03C76">
      <w:numFmt w:val="bullet"/>
      <w:lvlText w:val="-"/>
      <w:lvlJc w:val="left"/>
      <w:pPr>
        <w:ind w:left="1425" w:hanging="360"/>
      </w:pPr>
      <w:rPr>
        <w:rFonts w:ascii="Arial" w:eastAsia="Times New Roman" w:hAnsi="Arial" w:cs="Aria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1" w15:restartNumberingAfterBreak="0">
    <w:nsid w:val="7CCF6AE4"/>
    <w:multiLevelType w:val="hybridMultilevel"/>
    <w:tmpl w:val="0DAE398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11"/>
  </w:num>
  <w:num w:numId="3">
    <w:abstractNumId w:val="6"/>
  </w:num>
  <w:num w:numId="4">
    <w:abstractNumId w:val="0"/>
  </w:num>
  <w:num w:numId="5">
    <w:abstractNumId w:val="10"/>
  </w:num>
  <w:num w:numId="6">
    <w:abstractNumId w:val="3"/>
  </w:num>
  <w:num w:numId="7">
    <w:abstractNumId w:val="2"/>
  </w:num>
  <w:num w:numId="8">
    <w:abstractNumId w:val="7"/>
  </w:num>
  <w:num w:numId="9">
    <w:abstractNumId w:val="1"/>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D0"/>
    <w:rsid w:val="000003BB"/>
    <w:rsid w:val="00002F66"/>
    <w:rsid w:val="00003DFF"/>
    <w:rsid w:val="00005147"/>
    <w:rsid w:val="00007CAB"/>
    <w:rsid w:val="00011662"/>
    <w:rsid w:val="00014E41"/>
    <w:rsid w:val="000244EE"/>
    <w:rsid w:val="0002610A"/>
    <w:rsid w:val="00026C47"/>
    <w:rsid w:val="00027BBF"/>
    <w:rsid w:val="00037154"/>
    <w:rsid w:val="00042A91"/>
    <w:rsid w:val="00047CAA"/>
    <w:rsid w:val="00055193"/>
    <w:rsid w:val="00057E15"/>
    <w:rsid w:val="00060FC6"/>
    <w:rsid w:val="000763F8"/>
    <w:rsid w:val="00080AC6"/>
    <w:rsid w:val="000862AD"/>
    <w:rsid w:val="0009273F"/>
    <w:rsid w:val="000A14F1"/>
    <w:rsid w:val="000A5C76"/>
    <w:rsid w:val="000B2F60"/>
    <w:rsid w:val="000B6741"/>
    <w:rsid w:val="000D1E7B"/>
    <w:rsid w:val="000D2085"/>
    <w:rsid w:val="000D487E"/>
    <w:rsid w:val="000D4FD5"/>
    <w:rsid w:val="000D6A72"/>
    <w:rsid w:val="000E13AD"/>
    <w:rsid w:val="000E43B5"/>
    <w:rsid w:val="000E69D9"/>
    <w:rsid w:val="000F1296"/>
    <w:rsid w:val="00102033"/>
    <w:rsid w:val="001059C9"/>
    <w:rsid w:val="00105F77"/>
    <w:rsid w:val="001109B3"/>
    <w:rsid w:val="00111216"/>
    <w:rsid w:val="00127746"/>
    <w:rsid w:val="0013498A"/>
    <w:rsid w:val="00142E19"/>
    <w:rsid w:val="0014589F"/>
    <w:rsid w:val="001466F4"/>
    <w:rsid w:val="00153207"/>
    <w:rsid w:val="00154229"/>
    <w:rsid w:val="00173051"/>
    <w:rsid w:val="0018401E"/>
    <w:rsid w:val="00195A3E"/>
    <w:rsid w:val="001A478C"/>
    <w:rsid w:val="001A762A"/>
    <w:rsid w:val="001B1252"/>
    <w:rsid w:val="001C003D"/>
    <w:rsid w:val="001C0F7E"/>
    <w:rsid w:val="001C6A67"/>
    <w:rsid w:val="001D4951"/>
    <w:rsid w:val="001D4D4D"/>
    <w:rsid w:val="001D7A39"/>
    <w:rsid w:val="001E0A9D"/>
    <w:rsid w:val="001F2265"/>
    <w:rsid w:val="001F6B65"/>
    <w:rsid w:val="00203426"/>
    <w:rsid w:val="00211499"/>
    <w:rsid w:val="002137F6"/>
    <w:rsid w:val="0021554A"/>
    <w:rsid w:val="00222EB4"/>
    <w:rsid w:val="00225B87"/>
    <w:rsid w:val="00237A3C"/>
    <w:rsid w:val="0025376D"/>
    <w:rsid w:val="00260C22"/>
    <w:rsid w:val="00276F8E"/>
    <w:rsid w:val="0028633D"/>
    <w:rsid w:val="00293390"/>
    <w:rsid w:val="00293E95"/>
    <w:rsid w:val="00295066"/>
    <w:rsid w:val="002958A1"/>
    <w:rsid w:val="002A34E4"/>
    <w:rsid w:val="002B6104"/>
    <w:rsid w:val="002B6B12"/>
    <w:rsid w:val="002B76AA"/>
    <w:rsid w:val="002C1264"/>
    <w:rsid w:val="002C19E1"/>
    <w:rsid w:val="002C4A4F"/>
    <w:rsid w:val="002D0D35"/>
    <w:rsid w:val="002D2DC0"/>
    <w:rsid w:val="002E61D3"/>
    <w:rsid w:val="002F1ABA"/>
    <w:rsid w:val="002F60AF"/>
    <w:rsid w:val="00306152"/>
    <w:rsid w:val="003119AC"/>
    <w:rsid w:val="00314969"/>
    <w:rsid w:val="00315180"/>
    <w:rsid w:val="00315B57"/>
    <w:rsid w:val="00325B5A"/>
    <w:rsid w:val="003325E6"/>
    <w:rsid w:val="00332FBD"/>
    <w:rsid w:val="00333F23"/>
    <w:rsid w:val="003373C0"/>
    <w:rsid w:val="00356DC9"/>
    <w:rsid w:val="00360663"/>
    <w:rsid w:val="00374193"/>
    <w:rsid w:val="00374B56"/>
    <w:rsid w:val="00393B85"/>
    <w:rsid w:val="00393BC8"/>
    <w:rsid w:val="00396A8B"/>
    <w:rsid w:val="0039763D"/>
    <w:rsid w:val="003B2012"/>
    <w:rsid w:val="003B26D3"/>
    <w:rsid w:val="003C13D5"/>
    <w:rsid w:val="003C1A28"/>
    <w:rsid w:val="003D08F6"/>
    <w:rsid w:val="003E1A17"/>
    <w:rsid w:val="003E737D"/>
    <w:rsid w:val="003F0A8D"/>
    <w:rsid w:val="003F0D5D"/>
    <w:rsid w:val="003F17BF"/>
    <w:rsid w:val="003F5489"/>
    <w:rsid w:val="00403433"/>
    <w:rsid w:val="00404628"/>
    <w:rsid w:val="00411FEB"/>
    <w:rsid w:val="0042666D"/>
    <w:rsid w:val="00427907"/>
    <w:rsid w:val="0045120D"/>
    <w:rsid w:val="00467E67"/>
    <w:rsid w:val="00477BF1"/>
    <w:rsid w:val="00481398"/>
    <w:rsid w:val="00482CB4"/>
    <w:rsid w:val="00485BB3"/>
    <w:rsid w:val="00494260"/>
    <w:rsid w:val="0049552D"/>
    <w:rsid w:val="004A2B4F"/>
    <w:rsid w:val="004A3B43"/>
    <w:rsid w:val="004A3CE0"/>
    <w:rsid w:val="004B4B62"/>
    <w:rsid w:val="004C2B2D"/>
    <w:rsid w:val="004C5414"/>
    <w:rsid w:val="004F57EF"/>
    <w:rsid w:val="0050427C"/>
    <w:rsid w:val="005149B4"/>
    <w:rsid w:val="00515893"/>
    <w:rsid w:val="00515950"/>
    <w:rsid w:val="005325EB"/>
    <w:rsid w:val="005334B3"/>
    <w:rsid w:val="00534C25"/>
    <w:rsid w:val="005463C4"/>
    <w:rsid w:val="00552563"/>
    <w:rsid w:val="005614F7"/>
    <w:rsid w:val="005829A8"/>
    <w:rsid w:val="00586577"/>
    <w:rsid w:val="005978FE"/>
    <w:rsid w:val="005C07F4"/>
    <w:rsid w:val="005C29F4"/>
    <w:rsid w:val="005E62FF"/>
    <w:rsid w:val="005F3891"/>
    <w:rsid w:val="0060237F"/>
    <w:rsid w:val="00603BDE"/>
    <w:rsid w:val="00607B34"/>
    <w:rsid w:val="006262B3"/>
    <w:rsid w:val="00637FE0"/>
    <w:rsid w:val="00642D26"/>
    <w:rsid w:val="0064685F"/>
    <w:rsid w:val="00650501"/>
    <w:rsid w:val="00654480"/>
    <w:rsid w:val="006557A6"/>
    <w:rsid w:val="00666A00"/>
    <w:rsid w:val="0067083D"/>
    <w:rsid w:val="006736A9"/>
    <w:rsid w:val="00681791"/>
    <w:rsid w:val="00682701"/>
    <w:rsid w:val="00694205"/>
    <w:rsid w:val="00697B59"/>
    <w:rsid w:val="006A26EC"/>
    <w:rsid w:val="006A59BF"/>
    <w:rsid w:val="006A6166"/>
    <w:rsid w:val="006A6C56"/>
    <w:rsid w:val="006C2DD5"/>
    <w:rsid w:val="006C7801"/>
    <w:rsid w:val="006D299E"/>
    <w:rsid w:val="006E0609"/>
    <w:rsid w:val="006E4308"/>
    <w:rsid w:val="006F1321"/>
    <w:rsid w:val="006F2448"/>
    <w:rsid w:val="00712D1F"/>
    <w:rsid w:val="00717689"/>
    <w:rsid w:val="007234AF"/>
    <w:rsid w:val="007236FD"/>
    <w:rsid w:val="00723DC1"/>
    <w:rsid w:val="00733436"/>
    <w:rsid w:val="007341CB"/>
    <w:rsid w:val="00740CBF"/>
    <w:rsid w:val="00745AF0"/>
    <w:rsid w:val="007543C7"/>
    <w:rsid w:val="00755AAD"/>
    <w:rsid w:val="00761950"/>
    <w:rsid w:val="00762131"/>
    <w:rsid w:val="00786955"/>
    <w:rsid w:val="007919C4"/>
    <w:rsid w:val="007A4136"/>
    <w:rsid w:val="007B4CDC"/>
    <w:rsid w:val="007C3BF4"/>
    <w:rsid w:val="007D71F3"/>
    <w:rsid w:val="007E08F4"/>
    <w:rsid w:val="007E2796"/>
    <w:rsid w:val="007E64F9"/>
    <w:rsid w:val="007E7DDC"/>
    <w:rsid w:val="007F4D57"/>
    <w:rsid w:val="00810B18"/>
    <w:rsid w:val="008155EB"/>
    <w:rsid w:val="008160D3"/>
    <w:rsid w:val="0082479A"/>
    <w:rsid w:val="008279C3"/>
    <w:rsid w:val="008362AB"/>
    <w:rsid w:val="00836636"/>
    <w:rsid w:val="00844F71"/>
    <w:rsid w:val="00854A20"/>
    <w:rsid w:val="00857E10"/>
    <w:rsid w:val="00872786"/>
    <w:rsid w:val="008738EA"/>
    <w:rsid w:val="0087431D"/>
    <w:rsid w:val="00891368"/>
    <w:rsid w:val="008A0187"/>
    <w:rsid w:val="008A2372"/>
    <w:rsid w:val="008A727C"/>
    <w:rsid w:val="008C03BE"/>
    <w:rsid w:val="008D6CF6"/>
    <w:rsid w:val="008F34DE"/>
    <w:rsid w:val="008F4529"/>
    <w:rsid w:val="009160DE"/>
    <w:rsid w:val="00917233"/>
    <w:rsid w:val="00921C99"/>
    <w:rsid w:val="00924B8F"/>
    <w:rsid w:val="00925FC3"/>
    <w:rsid w:val="0093148C"/>
    <w:rsid w:val="00932CDA"/>
    <w:rsid w:val="00934118"/>
    <w:rsid w:val="0095086C"/>
    <w:rsid w:val="00953743"/>
    <w:rsid w:val="009557DD"/>
    <w:rsid w:val="00962BBB"/>
    <w:rsid w:val="00975AF8"/>
    <w:rsid w:val="00982D4C"/>
    <w:rsid w:val="0099004D"/>
    <w:rsid w:val="0099713B"/>
    <w:rsid w:val="009A1967"/>
    <w:rsid w:val="009B2F64"/>
    <w:rsid w:val="009B6396"/>
    <w:rsid w:val="009B7D69"/>
    <w:rsid w:val="009D31E9"/>
    <w:rsid w:val="009D7065"/>
    <w:rsid w:val="009E454F"/>
    <w:rsid w:val="009F017B"/>
    <w:rsid w:val="009F0E2E"/>
    <w:rsid w:val="009F7591"/>
    <w:rsid w:val="00A13DCC"/>
    <w:rsid w:val="00A22E07"/>
    <w:rsid w:val="00A26FA5"/>
    <w:rsid w:val="00A32324"/>
    <w:rsid w:val="00A371F7"/>
    <w:rsid w:val="00A469BD"/>
    <w:rsid w:val="00A53592"/>
    <w:rsid w:val="00A53B44"/>
    <w:rsid w:val="00A70BE5"/>
    <w:rsid w:val="00A7584E"/>
    <w:rsid w:val="00A80A88"/>
    <w:rsid w:val="00A81FF5"/>
    <w:rsid w:val="00A92452"/>
    <w:rsid w:val="00A94111"/>
    <w:rsid w:val="00AA6A7A"/>
    <w:rsid w:val="00AB102F"/>
    <w:rsid w:val="00AB74AD"/>
    <w:rsid w:val="00AD1116"/>
    <w:rsid w:val="00AD11C9"/>
    <w:rsid w:val="00AD4485"/>
    <w:rsid w:val="00AD4B51"/>
    <w:rsid w:val="00AE3636"/>
    <w:rsid w:val="00AE5A86"/>
    <w:rsid w:val="00AF00FF"/>
    <w:rsid w:val="00AF4F50"/>
    <w:rsid w:val="00B030A2"/>
    <w:rsid w:val="00B0532D"/>
    <w:rsid w:val="00B11651"/>
    <w:rsid w:val="00B15969"/>
    <w:rsid w:val="00B16DAD"/>
    <w:rsid w:val="00B2030C"/>
    <w:rsid w:val="00B23AB4"/>
    <w:rsid w:val="00B33B7A"/>
    <w:rsid w:val="00B60961"/>
    <w:rsid w:val="00B611FC"/>
    <w:rsid w:val="00B64AF2"/>
    <w:rsid w:val="00B92587"/>
    <w:rsid w:val="00B940D0"/>
    <w:rsid w:val="00BB0151"/>
    <w:rsid w:val="00BB0512"/>
    <w:rsid w:val="00BC1457"/>
    <w:rsid w:val="00BC282B"/>
    <w:rsid w:val="00BC2AA4"/>
    <w:rsid w:val="00BC5BBA"/>
    <w:rsid w:val="00BD1847"/>
    <w:rsid w:val="00BD5A50"/>
    <w:rsid w:val="00BE0A7E"/>
    <w:rsid w:val="00BF06D4"/>
    <w:rsid w:val="00BF0DB8"/>
    <w:rsid w:val="00BF2BC6"/>
    <w:rsid w:val="00BF41DB"/>
    <w:rsid w:val="00C10614"/>
    <w:rsid w:val="00C14F53"/>
    <w:rsid w:val="00C56E2E"/>
    <w:rsid w:val="00C576DC"/>
    <w:rsid w:val="00C6060A"/>
    <w:rsid w:val="00C60BFD"/>
    <w:rsid w:val="00C642CE"/>
    <w:rsid w:val="00C740E0"/>
    <w:rsid w:val="00C835EB"/>
    <w:rsid w:val="00C86E9A"/>
    <w:rsid w:val="00C903EE"/>
    <w:rsid w:val="00CA1E48"/>
    <w:rsid w:val="00CC13EB"/>
    <w:rsid w:val="00CD1774"/>
    <w:rsid w:val="00CD3599"/>
    <w:rsid w:val="00CD3BF7"/>
    <w:rsid w:val="00CD7F9A"/>
    <w:rsid w:val="00CE0848"/>
    <w:rsid w:val="00CE26D4"/>
    <w:rsid w:val="00CF1FC4"/>
    <w:rsid w:val="00D06570"/>
    <w:rsid w:val="00D14A80"/>
    <w:rsid w:val="00D22146"/>
    <w:rsid w:val="00D25538"/>
    <w:rsid w:val="00D273FB"/>
    <w:rsid w:val="00D37ACC"/>
    <w:rsid w:val="00D403EB"/>
    <w:rsid w:val="00D454D3"/>
    <w:rsid w:val="00D54348"/>
    <w:rsid w:val="00D57E65"/>
    <w:rsid w:val="00D614B6"/>
    <w:rsid w:val="00D86791"/>
    <w:rsid w:val="00DA0646"/>
    <w:rsid w:val="00DA3C53"/>
    <w:rsid w:val="00DC4F00"/>
    <w:rsid w:val="00DC5478"/>
    <w:rsid w:val="00DD5F1D"/>
    <w:rsid w:val="00DE48E4"/>
    <w:rsid w:val="00DE692F"/>
    <w:rsid w:val="00DF3F35"/>
    <w:rsid w:val="00DF7F19"/>
    <w:rsid w:val="00E00193"/>
    <w:rsid w:val="00E11A67"/>
    <w:rsid w:val="00E13F46"/>
    <w:rsid w:val="00E2451A"/>
    <w:rsid w:val="00E30566"/>
    <w:rsid w:val="00E36919"/>
    <w:rsid w:val="00E43951"/>
    <w:rsid w:val="00E44F5B"/>
    <w:rsid w:val="00E45807"/>
    <w:rsid w:val="00E60369"/>
    <w:rsid w:val="00E62B12"/>
    <w:rsid w:val="00E63917"/>
    <w:rsid w:val="00E71D45"/>
    <w:rsid w:val="00E750AA"/>
    <w:rsid w:val="00EA20F2"/>
    <w:rsid w:val="00EE286F"/>
    <w:rsid w:val="00EE457B"/>
    <w:rsid w:val="00EF2E97"/>
    <w:rsid w:val="00F074C4"/>
    <w:rsid w:val="00F16A6E"/>
    <w:rsid w:val="00F26753"/>
    <w:rsid w:val="00F31119"/>
    <w:rsid w:val="00F428F4"/>
    <w:rsid w:val="00F430D2"/>
    <w:rsid w:val="00F45FEF"/>
    <w:rsid w:val="00F462C0"/>
    <w:rsid w:val="00F474A3"/>
    <w:rsid w:val="00F645E5"/>
    <w:rsid w:val="00F831A1"/>
    <w:rsid w:val="00F85207"/>
    <w:rsid w:val="00F85D34"/>
    <w:rsid w:val="00F91DB3"/>
    <w:rsid w:val="00F9544C"/>
    <w:rsid w:val="00FA2A1D"/>
    <w:rsid w:val="00FB5D25"/>
    <w:rsid w:val="00FC1E88"/>
    <w:rsid w:val="00FC729B"/>
    <w:rsid w:val="00FE0FDB"/>
    <w:rsid w:val="00FE1690"/>
    <w:rsid w:val="00FE3DEC"/>
    <w:rsid w:val="00FE501A"/>
    <w:rsid w:val="00FE7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91A3516"/>
  <w15:chartTrackingRefBased/>
  <w15:docId w15:val="{626FF1E1-B262-4E53-A8CD-17FE89C6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2030C"/>
    <w:pPr>
      <w:tabs>
        <w:tab w:val="center" w:pos="4536"/>
        <w:tab w:val="right" w:pos="9072"/>
      </w:tabs>
    </w:pPr>
  </w:style>
  <w:style w:type="paragraph" w:styleId="Fuzeile">
    <w:name w:val="footer"/>
    <w:basedOn w:val="Standard"/>
    <w:rsid w:val="00B2030C"/>
    <w:pPr>
      <w:tabs>
        <w:tab w:val="center" w:pos="4536"/>
        <w:tab w:val="right" w:pos="9072"/>
      </w:tabs>
    </w:pPr>
  </w:style>
  <w:style w:type="paragraph" w:customStyle="1" w:styleId="FarbigeListe-Akzent11">
    <w:name w:val="Farbige Liste - Akzent 11"/>
    <w:basedOn w:val="Standard"/>
    <w:uiPriority w:val="34"/>
    <w:qFormat/>
    <w:rsid w:val="007919C4"/>
    <w:pPr>
      <w:ind w:left="708"/>
    </w:pPr>
  </w:style>
  <w:style w:type="paragraph" w:styleId="Sprechblasentext">
    <w:name w:val="Balloon Text"/>
    <w:basedOn w:val="Standard"/>
    <w:link w:val="SprechblasentextZchn"/>
    <w:rsid w:val="00C576DC"/>
    <w:rPr>
      <w:rFonts w:ascii="Tahoma" w:hAnsi="Tahoma" w:cs="Tahoma"/>
      <w:sz w:val="16"/>
      <w:szCs w:val="16"/>
    </w:rPr>
  </w:style>
  <w:style w:type="character" w:customStyle="1" w:styleId="SprechblasentextZchn">
    <w:name w:val="Sprechblasentext Zchn"/>
    <w:link w:val="Sprechblasentext"/>
    <w:rsid w:val="00C576DC"/>
    <w:rPr>
      <w:rFonts w:ascii="Tahoma" w:hAnsi="Tahoma" w:cs="Tahoma"/>
      <w:b/>
      <w:sz w:val="16"/>
      <w:szCs w:val="16"/>
    </w:rPr>
  </w:style>
  <w:style w:type="character" w:customStyle="1" w:styleId="KopfzeileZchn">
    <w:name w:val="Kopfzeile Zchn"/>
    <w:link w:val="Kopfzeile"/>
    <w:uiPriority w:val="99"/>
    <w:rsid w:val="00403433"/>
    <w:rPr>
      <w:rFonts w:ascii="Arial" w:hAnsi="Arial" w:cs="Arial"/>
      <w:b/>
      <w:sz w:val="22"/>
      <w:szCs w:val="22"/>
    </w:rPr>
  </w:style>
  <w:style w:type="character" w:styleId="Hyperlink">
    <w:name w:val="Hyperlink"/>
    <w:uiPriority w:val="99"/>
    <w:unhideWhenUsed/>
    <w:rsid w:val="004F57EF"/>
    <w:rPr>
      <w:color w:val="0000FF"/>
      <w:u w:val="single"/>
    </w:rPr>
  </w:style>
  <w:style w:type="character" w:styleId="BesuchterLink">
    <w:name w:val="FollowedHyperlink"/>
    <w:rsid w:val="00E245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9544">
      <w:bodyDiv w:val="1"/>
      <w:marLeft w:val="0"/>
      <w:marRight w:val="0"/>
      <w:marTop w:val="0"/>
      <w:marBottom w:val="0"/>
      <w:divBdr>
        <w:top w:val="none" w:sz="0" w:space="0" w:color="auto"/>
        <w:left w:val="none" w:sz="0" w:space="0" w:color="auto"/>
        <w:bottom w:val="none" w:sz="0" w:space="0" w:color="auto"/>
        <w:right w:val="none" w:sz="0" w:space="0" w:color="auto"/>
      </w:divBdr>
    </w:div>
    <w:div w:id="551770814">
      <w:bodyDiv w:val="1"/>
      <w:marLeft w:val="0"/>
      <w:marRight w:val="0"/>
      <w:marTop w:val="0"/>
      <w:marBottom w:val="0"/>
      <w:divBdr>
        <w:top w:val="none" w:sz="0" w:space="0" w:color="auto"/>
        <w:left w:val="none" w:sz="0" w:space="0" w:color="auto"/>
        <w:bottom w:val="none" w:sz="0" w:space="0" w:color="auto"/>
        <w:right w:val="none" w:sz="0" w:space="0" w:color="auto"/>
      </w:divBdr>
    </w:div>
    <w:div w:id="1640645438">
      <w:bodyDiv w:val="1"/>
      <w:marLeft w:val="0"/>
      <w:marRight w:val="0"/>
      <w:marTop w:val="0"/>
      <w:marBottom w:val="0"/>
      <w:divBdr>
        <w:top w:val="none" w:sz="0" w:space="0" w:color="auto"/>
        <w:left w:val="none" w:sz="0" w:space="0" w:color="auto"/>
        <w:bottom w:val="none" w:sz="0" w:space="0" w:color="auto"/>
        <w:right w:val="none" w:sz="0" w:space="0" w:color="auto"/>
      </w:divBdr>
      <w:divsChild>
        <w:div w:id="1947889037">
          <w:marLeft w:val="0"/>
          <w:marRight w:val="0"/>
          <w:marTop w:val="0"/>
          <w:marBottom w:val="0"/>
          <w:divBdr>
            <w:top w:val="none" w:sz="0" w:space="0" w:color="auto"/>
            <w:left w:val="none" w:sz="0" w:space="0" w:color="auto"/>
            <w:bottom w:val="none" w:sz="0" w:space="0" w:color="auto"/>
            <w:right w:val="none" w:sz="0" w:space="0" w:color="auto"/>
          </w:divBdr>
          <w:divsChild>
            <w:div w:id="1125932532">
              <w:marLeft w:val="0"/>
              <w:marRight w:val="0"/>
              <w:marTop w:val="0"/>
              <w:marBottom w:val="0"/>
              <w:divBdr>
                <w:top w:val="none" w:sz="0" w:space="0" w:color="auto"/>
                <w:left w:val="none" w:sz="0" w:space="0" w:color="auto"/>
                <w:bottom w:val="none" w:sz="0" w:space="0" w:color="auto"/>
                <w:right w:val="none" w:sz="0" w:space="0" w:color="auto"/>
              </w:divBdr>
              <w:divsChild>
                <w:div w:id="6372394">
                  <w:marLeft w:val="0"/>
                  <w:marRight w:val="0"/>
                  <w:marTop w:val="0"/>
                  <w:marBottom w:val="0"/>
                  <w:divBdr>
                    <w:top w:val="none" w:sz="0" w:space="0" w:color="auto"/>
                    <w:left w:val="none" w:sz="0" w:space="0" w:color="auto"/>
                    <w:bottom w:val="none" w:sz="0" w:space="0" w:color="auto"/>
                    <w:right w:val="none" w:sz="0" w:space="0" w:color="auto"/>
                  </w:divBdr>
                </w:div>
                <w:div w:id="36928610">
                  <w:marLeft w:val="0"/>
                  <w:marRight w:val="0"/>
                  <w:marTop w:val="0"/>
                  <w:marBottom w:val="0"/>
                  <w:divBdr>
                    <w:top w:val="none" w:sz="0" w:space="0" w:color="auto"/>
                    <w:left w:val="none" w:sz="0" w:space="0" w:color="auto"/>
                    <w:bottom w:val="none" w:sz="0" w:space="0" w:color="auto"/>
                    <w:right w:val="none" w:sz="0" w:space="0" w:color="auto"/>
                  </w:divBdr>
                </w:div>
                <w:div w:id="61878247">
                  <w:marLeft w:val="0"/>
                  <w:marRight w:val="0"/>
                  <w:marTop w:val="0"/>
                  <w:marBottom w:val="0"/>
                  <w:divBdr>
                    <w:top w:val="none" w:sz="0" w:space="0" w:color="auto"/>
                    <w:left w:val="none" w:sz="0" w:space="0" w:color="auto"/>
                    <w:bottom w:val="none" w:sz="0" w:space="0" w:color="auto"/>
                    <w:right w:val="none" w:sz="0" w:space="0" w:color="auto"/>
                  </w:divBdr>
                </w:div>
                <w:div w:id="98571640">
                  <w:marLeft w:val="0"/>
                  <w:marRight w:val="0"/>
                  <w:marTop w:val="0"/>
                  <w:marBottom w:val="0"/>
                  <w:divBdr>
                    <w:top w:val="none" w:sz="0" w:space="0" w:color="auto"/>
                    <w:left w:val="none" w:sz="0" w:space="0" w:color="auto"/>
                    <w:bottom w:val="none" w:sz="0" w:space="0" w:color="auto"/>
                    <w:right w:val="none" w:sz="0" w:space="0" w:color="auto"/>
                  </w:divBdr>
                </w:div>
                <w:div w:id="210847268">
                  <w:marLeft w:val="0"/>
                  <w:marRight w:val="0"/>
                  <w:marTop w:val="0"/>
                  <w:marBottom w:val="0"/>
                  <w:divBdr>
                    <w:top w:val="none" w:sz="0" w:space="0" w:color="auto"/>
                    <w:left w:val="none" w:sz="0" w:space="0" w:color="auto"/>
                    <w:bottom w:val="none" w:sz="0" w:space="0" w:color="auto"/>
                    <w:right w:val="none" w:sz="0" w:space="0" w:color="auto"/>
                  </w:divBdr>
                </w:div>
                <w:div w:id="253167489">
                  <w:marLeft w:val="0"/>
                  <w:marRight w:val="0"/>
                  <w:marTop w:val="0"/>
                  <w:marBottom w:val="0"/>
                  <w:divBdr>
                    <w:top w:val="none" w:sz="0" w:space="0" w:color="auto"/>
                    <w:left w:val="none" w:sz="0" w:space="0" w:color="auto"/>
                    <w:bottom w:val="none" w:sz="0" w:space="0" w:color="auto"/>
                    <w:right w:val="none" w:sz="0" w:space="0" w:color="auto"/>
                  </w:divBdr>
                </w:div>
                <w:div w:id="294062367">
                  <w:marLeft w:val="0"/>
                  <w:marRight w:val="0"/>
                  <w:marTop w:val="0"/>
                  <w:marBottom w:val="0"/>
                  <w:divBdr>
                    <w:top w:val="none" w:sz="0" w:space="0" w:color="auto"/>
                    <w:left w:val="none" w:sz="0" w:space="0" w:color="auto"/>
                    <w:bottom w:val="none" w:sz="0" w:space="0" w:color="auto"/>
                    <w:right w:val="none" w:sz="0" w:space="0" w:color="auto"/>
                  </w:divBdr>
                </w:div>
                <w:div w:id="320277116">
                  <w:marLeft w:val="0"/>
                  <w:marRight w:val="0"/>
                  <w:marTop w:val="0"/>
                  <w:marBottom w:val="0"/>
                  <w:divBdr>
                    <w:top w:val="none" w:sz="0" w:space="0" w:color="auto"/>
                    <w:left w:val="none" w:sz="0" w:space="0" w:color="auto"/>
                    <w:bottom w:val="none" w:sz="0" w:space="0" w:color="auto"/>
                    <w:right w:val="none" w:sz="0" w:space="0" w:color="auto"/>
                  </w:divBdr>
                </w:div>
                <w:div w:id="326055218">
                  <w:marLeft w:val="0"/>
                  <w:marRight w:val="0"/>
                  <w:marTop w:val="0"/>
                  <w:marBottom w:val="0"/>
                  <w:divBdr>
                    <w:top w:val="none" w:sz="0" w:space="0" w:color="auto"/>
                    <w:left w:val="none" w:sz="0" w:space="0" w:color="auto"/>
                    <w:bottom w:val="none" w:sz="0" w:space="0" w:color="auto"/>
                    <w:right w:val="none" w:sz="0" w:space="0" w:color="auto"/>
                  </w:divBdr>
                </w:div>
                <w:div w:id="345525476">
                  <w:marLeft w:val="0"/>
                  <w:marRight w:val="0"/>
                  <w:marTop w:val="0"/>
                  <w:marBottom w:val="0"/>
                  <w:divBdr>
                    <w:top w:val="none" w:sz="0" w:space="0" w:color="auto"/>
                    <w:left w:val="none" w:sz="0" w:space="0" w:color="auto"/>
                    <w:bottom w:val="none" w:sz="0" w:space="0" w:color="auto"/>
                    <w:right w:val="none" w:sz="0" w:space="0" w:color="auto"/>
                  </w:divBdr>
                </w:div>
                <w:div w:id="388845871">
                  <w:marLeft w:val="0"/>
                  <w:marRight w:val="0"/>
                  <w:marTop w:val="0"/>
                  <w:marBottom w:val="0"/>
                  <w:divBdr>
                    <w:top w:val="none" w:sz="0" w:space="0" w:color="auto"/>
                    <w:left w:val="none" w:sz="0" w:space="0" w:color="auto"/>
                    <w:bottom w:val="none" w:sz="0" w:space="0" w:color="auto"/>
                    <w:right w:val="none" w:sz="0" w:space="0" w:color="auto"/>
                  </w:divBdr>
                </w:div>
                <w:div w:id="393745216">
                  <w:marLeft w:val="0"/>
                  <w:marRight w:val="0"/>
                  <w:marTop w:val="0"/>
                  <w:marBottom w:val="0"/>
                  <w:divBdr>
                    <w:top w:val="none" w:sz="0" w:space="0" w:color="auto"/>
                    <w:left w:val="none" w:sz="0" w:space="0" w:color="auto"/>
                    <w:bottom w:val="none" w:sz="0" w:space="0" w:color="auto"/>
                    <w:right w:val="none" w:sz="0" w:space="0" w:color="auto"/>
                  </w:divBdr>
                </w:div>
                <w:div w:id="406731889">
                  <w:marLeft w:val="0"/>
                  <w:marRight w:val="0"/>
                  <w:marTop w:val="0"/>
                  <w:marBottom w:val="0"/>
                  <w:divBdr>
                    <w:top w:val="none" w:sz="0" w:space="0" w:color="auto"/>
                    <w:left w:val="none" w:sz="0" w:space="0" w:color="auto"/>
                    <w:bottom w:val="none" w:sz="0" w:space="0" w:color="auto"/>
                    <w:right w:val="none" w:sz="0" w:space="0" w:color="auto"/>
                  </w:divBdr>
                </w:div>
                <w:div w:id="410156717">
                  <w:marLeft w:val="0"/>
                  <w:marRight w:val="0"/>
                  <w:marTop w:val="0"/>
                  <w:marBottom w:val="0"/>
                  <w:divBdr>
                    <w:top w:val="none" w:sz="0" w:space="0" w:color="auto"/>
                    <w:left w:val="none" w:sz="0" w:space="0" w:color="auto"/>
                    <w:bottom w:val="none" w:sz="0" w:space="0" w:color="auto"/>
                    <w:right w:val="none" w:sz="0" w:space="0" w:color="auto"/>
                  </w:divBdr>
                </w:div>
                <w:div w:id="445348909">
                  <w:marLeft w:val="0"/>
                  <w:marRight w:val="0"/>
                  <w:marTop w:val="0"/>
                  <w:marBottom w:val="0"/>
                  <w:divBdr>
                    <w:top w:val="none" w:sz="0" w:space="0" w:color="auto"/>
                    <w:left w:val="none" w:sz="0" w:space="0" w:color="auto"/>
                    <w:bottom w:val="none" w:sz="0" w:space="0" w:color="auto"/>
                    <w:right w:val="none" w:sz="0" w:space="0" w:color="auto"/>
                  </w:divBdr>
                </w:div>
                <w:div w:id="468665894">
                  <w:marLeft w:val="0"/>
                  <w:marRight w:val="0"/>
                  <w:marTop w:val="0"/>
                  <w:marBottom w:val="0"/>
                  <w:divBdr>
                    <w:top w:val="none" w:sz="0" w:space="0" w:color="auto"/>
                    <w:left w:val="none" w:sz="0" w:space="0" w:color="auto"/>
                    <w:bottom w:val="none" w:sz="0" w:space="0" w:color="auto"/>
                    <w:right w:val="none" w:sz="0" w:space="0" w:color="auto"/>
                  </w:divBdr>
                </w:div>
                <w:div w:id="473765336">
                  <w:marLeft w:val="0"/>
                  <w:marRight w:val="0"/>
                  <w:marTop w:val="0"/>
                  <w:marBottom w:val="0"/>
                  <w:divBdr>
                    <w:top w:val="none" w:sz="0" w:space="0" w:color="auto"/>
                    <w:left w:val="none" w:sz="0" w:space="0" w:color="auto"/>
                    <w:bottom w:val="none" w:sz="0" w:space="0" w:color="auto"/>
                    <w:right w:val="none" w:sz="0" w:space="0" w:color="auto"/>
                  </w:divBdr>
                </w:div>
                <w:div w:id="528302634">
                  <w:marLeft w:val="0"/>
                  <w:marRight w:val="0"/>
                  <w:marTop w:val="0"/>
                  <w:marBottom w:val="0"/>
                  <w:divBdr>
                    <w:top w:val="none" w:sz="0" w:space="0" w:color="auto"/>
                    <w:left w:val="none" w:sz="0" w:space="0" w:color="auto"/>
                    <w:bottom w:val="none" w:sz="0" w:space="0" w:color="auto"/>
                    <w:right w:val="none" w:sz="0" w:space="0" w:color="auto"/>
                  </w:divBdr>
                </w:div>
                <w:div w:id="608243220">
                  <w:marLeft w:val="0"/>
                  <w:marRight w:val="0"/>
                  <w:marTop w:val="0"/>
                  <w:marBottom w:val="0"/>
                  <w:divBdr>
                    <w:top w:val="none" w:sz="0" w:space="0" w:color="auto"/>
                    <w:left w:val="none" w:sz="0" w:space="0" w:color="auto"/>
                    <w:bottom w:val="none" w:sz="0" w:space="0" w:color="auto"/>
                    <w:right w:val="none" w:sz="0" w:space="0" w:color="auto"/>
                  </w:divBdr>
                </w:div>
                <w:div w:id="631643163">
                  <w:marLeft w:val="0"/>
                  <w:marRight w:val="0"/>
                  <w:marTop w:val="0"/>
                  <w:marBottom w:val="0"/>
                  <w:divBdr>
                    <w:top w:val="none" w:sz="0" w:space="0" w:color="auto"/>
                    <w:left w:val="none" w:sz="0" w:space="0" w:color="auto"/>
                    <w:bottom w:val="none" w:sz="0" w:space="0" w:color="auto"/>
                    <w:right w:val="none" w:sz="0" w:space="0" w:color="auto"/>
                  </w:divBdr>
                </w:div>
                <w:div w:id="694842487">
                  <w:marLeft w:val="0"/>
                  <w:marRight w:val="0"/>
                  <w:marTop w:val="0"/>
                  <w:marBottom w:val="0"/>
                  <w:divBdr>
                    <w:top w:val="none" w:sz="0" w:space="0" w:color="auto"/>
                    <w:left w:val="none" w:sz="0" w:space="0" w:color="auto"/>
                    <w:bottom w:val="none" w:sz="0" w:space="0" w:color="auto"/>
                    <w:right w:val="none" w:sz="0" w:space="0" w:color="auto"/>
                  </w:divBdr>
                </w:div>
                <w:div w:id="742947183">
                  <w:marLeft w:val="0"/>
                  <w:marRight w:val="0"/>
                  <w:marTop w:val="0"/>
                  <w:marBottom w:val="0"/>
                  <w:divBdr>
                    <w:top w:val="none" w:sz="0" w:space="0" w:color="auto"/>
                    <w:left w:val="none" w:sz="0" w:space="0" w:color="auto"/>
                    <w:bottom w:val="none" w:sz="0" w:space="0" w:color="auto"/>
                    <w:right w:val="none" w:sz="0" w:space="0" w:color="auto"/>
                  </w:divBdr>
                </w:div>
                <w:div w:id="772365659">
                  <w:marLeft w:val="0"/>
                  <w:marRight w:val="0"/>
                  <w:marTop w:val="0"/>
                  <w:marBottom w:val="0"/>
                  <w:divBdr>
                    <w:top w:val="none" w:sz="0" w:space="0" w:color="auto"/>
                    <w:left w:val="none" w:sz="0" w:space="0" w:color="auto"/>
                    <w:bottom w:val="none" w:sz="0" w:space="0" w:color="auto"/>
                    <w:right w:val="none" w:sz="0" w:space="0" w:color="auto"/>
                  </w:divBdr>
                </w:div>
                <w:div w:id="835615552">
                  <w:marLeft w:val="0"/>
                  <w:marRight w:val="0"/>
                  <w:marTop w:val="0"/>
                  <w:marBottom w:val="0"/>
                  <w:divBdr>
                    <w:top w:val="none" w:sz="0" w:space="0" w:color="auto"/>
                    <w:left w:val="none" w:sz="0" w:space="0" w:color="auto"/>
                    <w:bottom w:val="none" w:sz="0" w:space="0" w:color="auto"/>
                    <w:right w:val="none" w:sz="0" w:space="0" w:color="auto"/>
                  </w:divBdr>
                </w:div>
                <w:div w:id="845218309">
                  <w:marLeft w:val="0"/>
                  <w:marRight w:val="0"/>
                  <w:marTop w:val="0"/>
                  <w:marBottom w:val="0"/>
                  <w:divBdr>
                    <w:top w:val="none" w:sz="0" w:space="0" w:color="auto"/>
                    <w:left w:val="none" w:sz="0" w:space="0" w:color="auto"/>
                    <w:bottom w:val="none" w:sz="0" w:space="0" w:color="auto"/>
                    <w:right w:val="none" w:sz="0" w:space="0" w:color="auto"/>
                  </w:divBdr>
                </w:div>
                <w:div w:id="845704509">
                  <w:marLeft w:val="0"/>
                  <w:marRight w:val="0"/>
                  <w:marTop w:val="0"/>
                  <w:marBottom w:val="0"/>
                  <w:divBdr>
                    <w:top w:val="none" w:sz="0" w:space="0" w:color="auto"/>
                    <w:left w:val="none" w:sz="0" w:space="0" w:color="auto"/>
                    <w:bottom w:val="none" w:sz="0" w:space="0" w:color="auto"/>
                    <w:right w:val="none" w:sz="0" w:space="0" w:color="auto"/>
                  </w:divBdr>
                </w:div>
                <w:div w:id="856963666">
                  <w:marLeft w:val="0"/>
                  <w:marRight w:val="0"/>
                  <w:marTop w:val="0"/>
                  <w:marBottom w:val="0"/>
                  <w:divBdr>
                    <w:top w:val="none" w:sz="0" w:space="0" w:color="auto"/>
                    <w:left w:val="none" w:sz="0" w:space="0" w:color="auto"/>
                    <w:bottom w:val="none" w:sz="0" w:space="0" w:color="auto"/>
                    <w:right w:val="none" w:sz="0" w:space="0" w:color="auto"/>
                  </w:divBdr>
                </w:div>
                <w:div w:id="857045335">
                  <w:marLeft w:val="0"/>
                  <w:marRight w:val="0"/>
                  <w:marTop w:val="0"/>
                  <w:marBottom w:val="0"/>
                  <w:divBdr>
                    <w:top w:val="none" w:sz="0" w:space="0" w:color="auto"/>
                    <w:left w:val="none" w:sz="0" w:space="0" w:color="auto"/>
                    <w:bottom w:val="none" w:sz="0" w:space="0" w:color="auto"/>
                    <w:right w:val="none" w:sz="0" w:space="0" w:color="auto"/>
                  </w:divBdr>
                </w:div>
                <w:div w:id="979111595">
                  <w:marLeft w:val="0"/>
                  <w:marRight w:val="0"/>
                  <w:marTop w:val="0"/>
                  <w:marBottom w:val="0"/>
                  <w:divBdr>
                    <w:top w:val="none" w:sz="0" w:space="0" w:color="auto"/>
                    <w:left w:val="none" w:sz="0" w:space="0" w:color="auto"/>
                    <w:bottom w:val="none" w:sz="0" w:space="0" w:color="auto"/>
                    <w:right w:val="none" w:sz="0" w:space="0" w:color="auto"/>
                  </w:divBdr>
                </w:div>
                <w:div w:id="990674174">
                  <w:marLeft w:val="0"/>
                  <w:marRight w:val="0"/>
                  <w:marTop w:val="0"/>
                  <w:marBottom w:val="0"/>
                  <w:divBdr>
                    <w:top w:val="none" w:sz="0" w:space="0" w:color="auto"/>
                    <w:left w:val="none" w:sz="0" w:space="0" w:color="auto"/>
                    <w:bottom w:val="none" w:sz="0" w:space="0" w:color="auto"/>
                    <w:right w:val="none" w:sz="0" w:space="0" w:color="auto"/>
                  </w:divBdr>
                </w:div>
                <w:div w:id="997422768">
                  <w:marLeft w:val="0"/>
                  <w:marRight w:val="0"/>
                  <w:marTop w:val="0"/>
                  <w:marBottom w:val="0"/>
                  <w:divBdr>
                    <w:top w:val="none" w:sz="0" w:space="0" w:color="auto"/>
                    <w:left w:val="none" w:sz="0" w:space="0" w:color="auto"/>
                    <w:bottom w:val="none" w:sz="0" w:space="0" w:color="auto"/>
                    <w:right w:val="none" w:sz="0" w:space="0" w:color="auto"/>
                  </w:divBdr>
                </w:div>
                <w:div w:id="1040083132">
                  <w:marLeft w:val="0"/>
                  <w:marRight w:val="0"/>
                  <w:marTop w:val="0"/>
                  <w:marBottom w:val="0"/>
                  <w:divBdr>
                    <w:top w:val="none" w:sz="0" w:space="0" w:color="auto"/>
                    <w:left w:val="none" w:sz="0" w:space="0" w:color="auto"/>
                    <w:bottom w:val="none" w:sz="0" w:space="0" w:color="auto"/>
                    <w:right w:val="none" w:sz="0" w:space="0" w:color="auto"/>
                  </w:divBdr>
                </w:div>
                <w:div w:id="1052340116">
                  <w:marLeft w:val="0"/>
                  <w:marRight w:val="0"/>
                  <w:marTop w:val="0"/>
                  <w:marBottom w:val="0"/>
                  <w:divBdr>
                    <w:top w:val="none" w:sz="0" w:space="0" w:color="auto"/>
                    <w:left w:val="none" w:sz="0" w:space="0" w:color="auto"/>
                    <w:bottom w:val="none" w:sz="0" w:space="0" w:color="auto"/>
                    <w:right w:val="none" w:sz="0" w:space="0" w:color="auto"/>
                  </w:divBdr>
                </w:div>
                <w:div w:id="1261839040">
                  <w:marLeft w:val="0"/>
                  <w:marRight w:val="0"/>
                  <w:marTop w:val="0"/>
                  <w:marBottom w:val="0"/>
                  <w:divBdr>
                    <w:top w:val="none" w:sz="0" w:space="0" w:color="auto"/>
                    <w:left w:val="none" w:sz="0" w:space="0" w:color="auto"/>
                    <w:bottom w:val="none" w:sz="0" w:space="0" w:color="auto"/>
                    <w:right w:val="none" w:sz="0" w:space="0" w:color="auto"/>
                  </w:divBdr>
                </w:div>
                <w:div w:id="1291286324">
                  <w:marLeft w:val="0"/>
                  <w:marRight w:val="0"/>
                  <w:marTop w:val="0"/>
                  <w:marBottom w:val="0"/>
                  <w:divBdr>
                    <w:top w:val="none" w:sz="0" w:space="0" w:color="auto"/>
                    <w:left w:val="none" w:sz="0" w:space="0" w:color="auto"/>
                    <w:bottom w:val="none" w:sz="0" w:space="0" w:color="auto"/>
                    <w:right w:val="none" w:sz="0" w:space="0" w:color="auto"/>
                  </w:divBdr>
                </w:div>
                <w:div w:id="1366833207">
                  <w:marLeft w:val="0"/>
                  <w:marRight w:val="0"/>
                  <w:marTop w:val="0"/>
                  <w:marBottom w:val="0"/>
                  <w:divBdr>
                    <w:top w:val="none" w:sz="0" w:space="0" w:color="auto"/>
                    <w:left w:val="none" w:sz="0" w:space="0" w:color="auto"/>
                    <w:bottom w:val="none" w:sz="0" w:space="0" w:color="auto"/>
                    <w:right w:val="none" w:sz="0" w:space="0" w:color="auto"/>
                  </w:divBdr>
                </w:div>
                <w:div w:id="1411929766">
                  <w:marLeft w:val="0"/>
                  <w:marRight w:val="0"/>
                  <w:marTop w:val="0"/>
                  <w:marBottom w:val="0"/>
                  <w:divBdr>
                    <w:top w:val="none" w:sz="0" w:space="0" w:color="auto"/>
                    <w:left w:val="none" w:sz="0" w:space="0" w:color="auto"/>
                    <w:bottom w:val="none" w:sz="0" w:space="0" w:color="auto"/>
                    <w:right w:val="none" w:sz="0" w:space="0" w:color="auto"/>
                  </w:divBdr>
                </w:div>
                <w:div w:id="1496916206">
                  <w:marLeft w:val="0"/>
                  <w:marRight w:val="0"/>
                  <w:marTop w:val="0"/>
                  <w:marBottom w:val="0"/>
                  <w:divBdr>
                    <w:top w:val="none" w:sz="0" w:space="0" w:color="auto"/>
                    <w:left w:val="none" w:sz="0" w:space="0" w:color="auto"/>
                    <w:bottom w:val="none" w:sz="0" w:space="0" w:color="auto"/>
                    <w:right w:val="none" w:sz="0" w:space="0" w:color="auto"/>
                  </w:divBdr>
                </w:div>
                <w:div w:id="1510362689">
                  <w:marLeft w:val="0"/>
                  <w:marRight w:val="0"/>
                  <w:marTop w:val="0"/>
                  <w:marBottom w:val="0"/>
                  <w:divBdr>
                    <w:top w:val="none" w:sz="0" w:space="0" w:color="auto"/>
                    <w:left w:val="none" w:sz="0" w:space="0" w:color="auto"/>
                    <w:bottom w:val="none" w:sz="0" w:space="0" w:color="auto"/>
                    <w:right w:val="none" w:sz="0" w:space="0" w:color="auto"/>
                  </w:divBdr>
                </w:div>
                <w:div w:id="1518347790">
                  <w:marLeft w:val="0"/>
                  <w:marRight w:val="0"/>
                  <w:marTop w:val="0"/>
                  <w:marBottom w:val="0"/>
                  <w:divBdr>
                    <w:top w:val="none" w:sz="0" w:space="0" w:color="auto"/>
                    <w:left w:val="none" w:sz="0" w:space="0" w:color="auto"/>
                    <w:bottom w:val="none" w:sz="0" w:space="0" w:color="auto"/>
                    <w:right w:val="none" w:sz="0" w:space="0" w:color="auto"/>
                  </w:divBdr>
                </w:div>
                <w:div w:id="1573542698">
                  <w:marLeft w:val="0"/>
                  <w:marRight w:val="0"/>
                  <w:marTop w:val="0"/>
                  <w:marBottom w:val="0"/>
                  <w:divBdr>
                    <w:top w:val="none" w:sz="0" w:space="0" w:color="auto"/>
                    <w:left w:val="none" w:sz="0" w:space="0" w:color="auto"/>
                    <w:bottom w:val="none" w:sz="0" w:space="0" w:color="auto"/>
                    <w:right w:val="none" w:sz="0" w:space="0" w:color="auto"/>
                  </w:divBdr>
                </w:div>
                <w:div w:id="1574393999">
                  <w:marLeft w:val="0"/>
                  <w:marRight w:val="0"/>
                  <w:marTop w:val="0"/>
                  <w:marBottom w:val="0"/>
                  <w:divBdr>
                    <w:top w:val="none" w:sz="0" w:space="0" w:color="auto"/>
                    <w:left w:val="none" w:sz="0" w:space="0" w:color="auto"/>
                    <w:bottom w:val="none" w:sz="0" w:space="0" w:color="auto"/>
                    <w:right w:val="none" w:sz="0" w:space="0" w:color="auto"/>
                  </w:divBdr>
                </w:div>
                <w:div w:id="1593398178">
                  <w:marLeft w:val="0"/>
                  <w:marRight w:val="0"/>
                  <w:marTop w:val="0"/>
                  <w:marBottom w:val="0"/>
                  <w:divBdr>
                    <w:top w:val="none" w:sz="0" w:space="0" w:color="auto"/>
                    <w:left w:val="none" w:sz="0" w:space="0" w:color="auto"/>
                    <w:bottom w:val="none" w:sz="0" w:space="0" w:color="auto"/>
                    <w:right w:val="none" w:sz="0" w:space="0" w:color="auto"/>
                  </w:divBdr>
                </w:div>
                <w:div w:id="1594974667">
                  <w:marLeft w:val="0"/>
                  <w:marRight w:val="0"/>
                  <w:marTop w:val="0"/>
                  <w:marBottom w:val="0"/>
                  <w:divBdr>
                    <w:top w:val="none" w:sz="0" w:space="0" w:color="auto"/>
                    <w:left w:val="none" w:sz="0" w:space="0" w:color="auto"/>
                    <w:bottom w:val="none" w:sz="0" w:space="0" w:color="auto"/>
                    <w:right w:val="none" w:sz="0" w:space="0" w:color="auto"/>
                  </w:divBdr>
                </w:div>
                <w:div w:id="1628050477">
                  <w:marLeft w:val="0"/>
                  <w:marRight w:val="0"/>
                  <w:marTop w:val="0"/>
                  <w:marBottom w:val="0"/>
                  <w:divBdr>
                    <w:top w:val="none" w:sz="0" w:space="0" w:color="auto"/>
                    <w:left w:val="none" w:sz="0" w:space="0" w:color="auto"/>
                    <w:bottom w:val="none" w:sz="0" w:space="0" w:color="auto"/>
                    <w:right w:val="none" w:sz="0" w:space="0" w:color="auto"/>
                  </w:divBdr>
                </w:div>
                <w:div w:id="1676179263">
                  <w:marLeft w:val="0"/>
                  <w:marRight w:val="0"/>
                  <w:marTop w:val="0"/>
                  <w:marBottom w:val="0"/>
                  <w:divBdr>
                    <w:top w:val="none" w:sz="0" w:space="0" w:color="auto"/>
                    <w:left w:val="none" w:sz="0" w:space="0" w:color="auto"/>
                    <w:bottom w:val="none" w:sz="0" w:space="0" w:color="auto"/>
                    <w:right w:val="none" w:sz="0" w:space="0" w:color="auto"/>
                  </w:divBdr>
                </w:div>
                <w:div w:id="1676221573">
                  <w:marLeft w:val="0"/>
                  <w:marRight w:val="0"/>
                  <w:marTop w:val="0"/>
                  <w:marBottom w:val="0"/>
                  <w:divBdr>
                    <w:top w:val="none" w:sz="0" w:space="0" w:color="auto"/>
                    <w:left w:val="none" w:sz="0" w:space="0" w:color="auto"/>
                    <w:bottom w:val="none" w:sz="0" w:space="0" w:color="auto"/>
                    <w:right w:val="none" w:sz="0" w:space="0" w:color="auto"/>
                  </w:divBdr>
                </w:div>
                <w:div w:id="1722823600">
                  <w:marLeft w:val="0"/>
                  <w:marRight w:val="0"/>
                  <w:marTop w:val="0"/>
                  <w:marBottom w:val="0"/>
                  <w:divBdr>
                    <w:top w:val="none" w:sz="0" w:space="0" w:color="auto"/>
                    <w:left w:val="none" w:sz="0" w:space="0" w:color="auto"/>
                    <w:bottom w:val="none" w:sz="0" w:space="0" w:color="auto"/>
                    <w:right w:val="none" w:sz="0" w:space="0" w:color="auto"/>
                  </w:divBdr>
                </w:div>
                <w:div w:id="1788352210">
                  <w:marLeft w:val="0"/>
                  <w:marRight w:val="0"/>
                  <w:marTop w:val="0"/>
                  <w:marBottom w:val="0"/>
                  <w:divBdr>
                    <w:top w:val="none" w:sz="0" w:space="0" w:color="auto"/>
                    <w:left w:val="none" w:sz="0" w:space="0" w:color="auto"/>
                    <w:bottom w:val="none" w:sz="0" w:space="0" w:color="auto"/>
                    <w:right w:val="none" w:sz="0" w:space="0" w:color="auto"/>
                  </w:divBdr>
                </w:div>
                <w:div w:id="1851066622">
                  <w:marLeft w:val="0"/>
                  <w:marRight w:val="0"/>
                  <w:marTop w:val="0"/>
                  <w:marBottom w:val="0"/>
                  <w:divBdr>
                    <w:top w:val="none" w:sz="0" w:space="0" w:color="auto"/>
                    <w:left w:val="none" w:sz="0" w:space="0" w:color="auto"/>
                    <w:bottom w:val="none" w:sz="0" w:space="0" w:color="auto"/>
                    <w:right w:val="none" w:sz="0" w:space="0" w:color="auto"/>
                  </w:divBdr>
                </w:div>
                <w:div w:id="1864392660">
                  <w:marLeft w:val="0"/>
                  <w:marRight w:val="0"/>
                  <w:marTop w:val="0"/>
                  <w:marBottom w:val="0"/>
                  <w:divBdr>
                    <w:top w:val="none" w:sz="0" w:space="0" w:color="auto"/>
                    <w:left w:val="none" w:sz="0" w:space="0" w:color="auto"/>
                    <w:bottom w:val="none" w:sz="0" w:space="0" w:color="auto"/>
                    <w:right w:val="none" w:sz="0" w:space="0" w:color="auto"/>
                  </w:divBdr>
                </w:div>
                <w:div w:id="1879580907">
                  <w:marLeft w:val="0"/>
                  <w:marRight w:val="0"/>
                  <w:marTop w:val="0"/>
                  <w:marBottom w:val="0"/>
                  <w:divBdr>
                    <w:top w:val="none" w:sz="0" w:space="0" w:color="auto"/>
                    <w:left w:val="none" w:sz="0" w:space="0" w:color="auto"/>
                    <w:bottom w:val="none" w:sz="0" w:space="0" w:color="auto"/>
                    <w:right w:val="none" w:sz="0" w:space="0" w:color="auto"/>
                  </w:divBdr>
                </w:div>
                <w:div w:id="1883518436">
                  <w:marLeft w:val="0"/>
                  <w:marRight w:val="0"/>
                  <w:marTop w:val="0"/>
                  <w:marBottom w:val="0"/>
                  <w:divBdr>
                    <w:top w:val="none" w:sz="0" w:space="0" w:color="auto"/>
                    <w:left w:val="none" w:sz="0" w:space="0" w:color="auto"/>
                    <w:bottom w:val="none" w:sz="0" w:space="0" w:color="auto"/>
                    <w:right w:val="none" w:sz="0" w:space="0" w:color="auto"/>
                  </w:divBdr>
                </w:div>
                <w:div w:id="1894079605">
                  <w:marLeft w:val="0"/>
                  <w:marRight w:val="0"/>
                  <w:marTop w:val="0"/>
                  <w:marBottom w:val="0"/>
                  <w:divBdr>
                    <w:top w:val="none" w:sz="0" w:space="0" w:color="auto"/>
                    <w:left w:val="none" w:sz="0" w:space="0" w:color="auto"/>
                    <w:bottom w:val="none" w:sz="0" w:space="0" w:color="auto"/>
                    <w:right w:val="none" w:sz="0" w:space="0" w:color="auto"/>
                  </w:divBdr>
                </w:div>
                <w:div w:id="1929197262">
                  <w:marLeft w:val="0"/>
                  <w:marRight w:val="0"/>
                  <w:marTop w:val="0"/>
                  <w:marBottom w:val="0"/>
                  <w:divBdr>
                    <w:top w:val="none" w:sz="0" w:space="0" w:color="auto"/>
                    <w:left w:val="none" w:sz="0" w:space="0" w:color="auto"/>
                    <w:bottom w:val="none" w:sz="0" w:space="0" w:color="auto"/>
                    <w:right w:val="none" w:sz="0" w:space="0" w:color="auto"/>
                  </w:divBdr>
                </w:div>
                <w:div w:id="1997877762">
                  <w:marLeft w:val="0"/>
                  <w:marRight w:val="0"/>
                  <w:marTop w:val="0"/>
                  <w:marBottom w:val="0"/>
                  <w:divBdr>
                    <w:top w:val="none" w:sz="0" w:space="0" w:color="auto"/>
                    <w:left w:val="none" w:sz="0" w:space="0" w:color="auto"/>
                    <w:bottom w:val="none" w:sz="0" w:space="0" w:color="auto"/>
                    <w:right w:val="none" w:sz="0" w:space="0" w:color="auto"/>
                  </w:divBdr>
                </w:div>
                <w:div w:id="2053992442">
                  <w:marLeft w:val="0"/>
                  <w:marRight w:val="0"/>
                  <w:marTop w:val="0"/>
                  <w:marBottom w:val="0"/>
                  <w:divBdr>
                    <w:top w:val="none" w:sz="0" w:space="0" w:color="auto"/>
                    <w:left w:val="none" w:sz="0" w:space="0" w:color="auto"/>
                    <w:bottom w:val="none" w:sz="0" w:space="0" w:color="auto"/>
                    <w:right w:val="none" w:sz="0" w:space="0" w:color="auto"/>
                  </w:divBdr>
                </w:div>
                <w:div w:id="2097047751">
                  <w:marLeft w:val="0"/>
                  <w:marRight w:val="0"/>
                  <w:marTop w:val="0"/>
                  <w:marBottom w:val="0"/>
                  <w:divBdr>
                    <w:top w:val="none" w:sz="0" w:space="0" w:color="auto"/>
                    <w:left w:val="none" w:sz="0" w:space="0" w:color="auto"/>
                    <w:bottom w:val="none" w:sz="0" w:space="0" w:color="auto"/>
                    <w:right w:val="none" w:sz="0" w:space="0" w:color="auto"/>
                  </w:divBdr>
                </w:div>
                <w:div w:id="2124956863">
                  <w:marLeft w:val="0"/>
                  <w:marRight w:val="0"/>
                  <w:marTop w:val="0"/>
                  <w:marBottom w:val="0"/>
                  <w:divBdr>
                    <w:top w:val="none" w:sz="0" w:space="0" w:color="auto"/>
                    <w:left w:val="none" w:sz="0" w:space="0" w:color="auto"/>
                    <w:bottom w:val="none" w:sz="0" w:space="0" w:color="auto"/>
                    <w:right w:val="none" w:sz="0" w:space="0" w:color="auto"/>
                  </w:divBdr>
                </w:div>
                <w:div w:id="21311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iv-steinmetz.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EDBA-9815-4AD0-B59B-964512E9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BIV</Company>
  <LinksUpToDate>false</LinksUpToDate>
  <CharactersWithSpaces>6143</CharactersWithSpaces>
  <SharedDoc>false</SharedDoc>
  <HLinks>
    <vt:vector size="18" baseType="variant">
      <vt:variant>
        <vt:i4>6291521</vt:i4>
      </vt:variant>
      <vt:variant>
        <vt:i4>6</vt:i4>
      </vt:variant>
      <vt:variant>
        <vt:i4>0</vt:i4>
      </vt:variant>
      <vt:variant>
        <vt:i4>5</vt:i4>
      </vt:variant>
      <vt:variant>
        <vt:lpwstr>https://cms.bivsteinmetz.de/docs/spendenaufrufflutkatastrophe2021_853435.pdf</vt:lpwstr>
      </vt:variant>
      <vt:variant>
        <vt:lpwstr/>
      </vt:variant>
      <vt:variant>
        <vt:i4>2490460</vt:i4>
      </vt:variant>
      <vt:variant>
        <vt:i4>3</vt:i4>
      </vt:variant>
      <vt:variant>
        <vt:i4>0</vt:i4>
      </vt:variant>
      <vt:variant>
        <vt:i4>5</vt:i4>
      </vt:variant>
      <vt:variant>
        <vt:lpwstr>mailto:info@biv-steinmetz.de</vt:lpwstr>
      </vt:variant>
      <vt:variant>
        <vt:lpwstr/>
      </vt:variant>
      <vt:variant>
        <vt:i4>2687024</vt:i4>
      </vt:variant>
      <vt:variant>
        <vt:i4>0</vt:i4>
      </vt:variant>
      <vt:variant>
        <vt:i4>0</vt:i4>
      </vt:variant>
      <vt:variant>
        <vt:i4>5</vt:i4>
      </vt:variant>
      <vt:variant>
        <vt:lpwstr>http://www.cubo-begegnungen.de/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BIV Steinmetz News</dc:creator>
  <cp:keywords/>
  <cp:lastModifiedBy>Masood Bashary</cp:lastModifiedBy>
  <cp:revision>6</cp:revision>
  <cp:lastPrinted>2021-11-23T08:48:00Z</cp:lastPrinted>
  <dcterms:created xsi:type="dcterms:W3CDTF">2021-11-22T16:28:00Z</dcterms:created>
  <dcterms:modified xsi:type="dcterms:W3CDTF">2021-11-23T08:48:00Z</dcterms:modified>
</cp:coreProperties>
</file>